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B6267" w14:textId="77777777" w:rsidR="00567B73" w:rsidRDefault="00567B73" w:rsidP="00567B73">
      <w:pPr>
        <w:jc w:val="both"/>
        <w:rPr>
          <w:lang w:val="fr"/>
        </w:rPr>
      </w:pPr>
      <w:r>
        <w:rPr>
          <w:rFonts w:asciiTheme="minorHAnsi" w:hAnsiTheme="minorHAnsi" w:cstheme="minorHAnsi"/>
          <w:noProof/>
          <w:lang w:eastAsia="fr-CA"/>
        </w:rPr>
        <w:drawing>
          <wp:inline distT="0" distB="0" distL="0" distR="0" wp14:anchorId="086D102B" wp14:editId="6808F742">
            <wp:extent cx="1592580" cy="1225912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abDD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64" cy="123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EE885" w14:textId="4C55D64F" w:rsidR="0012102F" w:rsidRPr="00567B73" w:rsidRDefault="00567B73" w:rsidP="00567B7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67B73">
        <w:rPr>
          <w:b/>
          <w:sz w:val="36"/>
          <w:szCs w:val="36"/>
          <w:lang w:val="fr"/>
        </w:rPr>
        <w:t>Centre d’Action Bénévole Domaine-du-Roy</w:t>
      </w:r>
    </w:p>
    <w:p w14:paraId="343B21D7" w14:textId="77777777" w:rsidR="0012102F" w:rsidRPr="00CD3682" w:rsidRDefault="0012102F" w:rsidP="0012102F">
      <w:pPr>
        <w:jc w:val="center"/>
        <w:rPr>
          <w:rFonts w:asciiTheme="minorHAnsi" w:hAnsiTheme="minorHAnsi" w:cstheme="minorHAnsi"/>
        </w:rPr>
      </w:pPr>
    </w:p>
    <w:p w14:paraId="5B8E01C1" w14:textId="77777777" w:rsidR="0012102F" w:rsidRPr="00CD3682" w:rsidRDefault="0012102F" w:rsidP="0012102F">
      <w:pPr>
        <w:jc w:val="center"/>
        <w:rPr>
          <w:rFonts w:asciiTheme="minorHAnsi" w:hAnsiTheme="minorHAnsi" w:cstheme="minorHAnsi"/>
        </w:rPr>
      </w:pPr>
    </w:p>
    <w:p w14:paraId="71E64258" w14:textId="1736926C" w:rsidR="0012102F" w:rsidRDefault="0012102F" w:rsidP="2166248B">
      <w:pPr>
        <w:spacing w:after="0"/>
        <w:jc w:val="center"/>
        <w:rPr>
          <w:b/>
          <w:bCs/>
          <w:sz w:val="32"/>
          <w:szCs w:val="32"/>
          <w:lang w:val="fr"/>
        </w:rPr>
      </w:pPr>
      <w:r w:rsidRPr="2166248B">
        <w:rPr>
          <w:b/>
          <w:bCs/>
          <w:sz w:val="32"/>
          <w:szCs w:val="32"/>
          <w:lang w:val="fr"/>
        </w:rPr>
        <w:t xml:space="preserve">DESCRIPTION DU POSTE DE RESPONSABLE </w:t>
      </w:r>
      <w:r w:rsidR="008B1007" w:rsidRPr="002902E5">
        <w:rPr>
          <w:rFonts w:asciiTheme="minorHAnsi" w:eastAsiaTheme="minorEastAsia" w:hAnsiTheme="minorHAnsi" w:cstheme="minorBidi"/>
          <w:b/>
          <w:bCs/>
          <w:sz w:val="32"/>
          <w:szCs w:val="32"/>
          <w:lang w:val="fr"/>
        </w:rPr>
        <w:t>À LA</w:t>
      </w:r>
    </w:p>
    <w:p w14:paraId="298C2620" w14:textId="40CF2554" w:rsidR="0012102F" w:rsidRPr="00CD3682" w:rsidRDefault="008B1007" w:rsidP="0012102F">
      <w:pPr>
        <w:spacing w:after="0"/>
        <w:jc w:val="center"/>
        <w:rPr>
          <w:b/>
          <w:sz w:val="32"/>
        </w:rPr>
      </w:pPr>
      <w:r>
        <w:rPr>
          <w:b/>
          <w:sz w:val="32"/>
          <w:lang w:val="fr"/>
        </w:rPr>
        <w:t xml:space="preserve">PROTECTION DES </w:t>
      </w:r>
      <w:r w:rsidR="0012102F">
        <w:rPr>
          <w:b/>
          <w:sz w:val="32"/>
          <w:lang w:val="fr"/>
        </w:rPr>
        <w:t>RENSEIGNEMENTS PERSONNELS</w:t>
      </w:r>
    </w:p>
    <w:p w14:paraId="009F72B8" w14:textId="77777777" w:rsidR="0012102F" w:rsidRDefault="0012102F" w:rsidP="0012102F">
      <w:pPr>
        <w:jc w:val="both"/>
        <w:rPr>
          <w:rFonts w:asciiTheme="minorHAnsi" w:hAnsiTheme="minorHAnsi" w:cstheme="minorHAnsi"/>
        </w:rPr>
      </w:pPr>
    </w:p>
    <w:p w14:paraId="0000AF33" w14:textId="77777777" w:rsidR="0012102F" w:rsidRPr="00CD3682" w:rsidRDefault="0012102F" w:rsidP="0012102F">
      <w:pPr>
        <w:jc w:val="both"/>
        <w:rPr>
          <w:rFonts w:asciiTheme="minorHAnsi" w:hAnsiTheme="minorHAnsi" w:cstheme="minorHAnsi"/>
        </w:rPr>
      </w:pPr>
    </w:p>
    <w:tbl>
      <w:tblPr>
        <w:tblW w:w="943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718"/>
        <w:gridCol w:w="6720"/>
      </w:tblGrid>
      <w:tr w:rsidR="0012102F" w:rsidRPr="00CD3682" w14:paraId="210E2104" w14:textId="77777777" w:rsidTr="00845247">
        <w:tc>
          <w:tcPr>
            <w:tcW w:w="2718" w:type="dxa"/>
            <w:shd w:val="clear" w:color="auto" w:fill="auto"/>
          </w:tcPr>
          <w:p w14:paraId="03C65316" w14:textId="77777777" w:rsidR="0012102F" w:rsidRPr="00567B73" w:rsidRDefault="0012102F" w:rsidP="00845247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567B73">
              <w:rPr>
                <w:rFonts w:cstheme="minorHAnsi"/>
                <w:i/>
              </w:rPr>
              <w:t>Version :</w:t>
            </w:r>
          </w:p>
        </w:tc>
        <w:tc>
          <w:tcPr>
            <w:tcW w:w="6720" w:type="dxa"/>
            <w:shd w:val="clear" w:color="auto" w:fill="auto"/>
            <w:tcMar>
              <w:left w:w="103" w:type="dxa"/>
            </w:tcMar>
          </w:tcPr>
          <w:p w14:paraId="6A6E35AD" w14:textId="75DAA4BD" w:rsidR="0012102F" w:rsidRPr="00567B73" w:rsidRDefault="00567B73" w:rsidP="0084524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#1</w:t>
            </w:r>
          </w:p>
        </w:tc>
      </w:tr>
      <w:tr w:rsidR="0012102F" w:rsidRPr="00CD3682" w14:paraId="6246C692" w14:textId="77777777" w:rsidTr="00845247">
        <w:tc>
          <w:tcPr>
            <w:tcW w:w="2718" w:type="dxa"/>
            <w:shd w:val="clear" w:color="auto" w:fill="auto"/>
          </w:tcPr>
          <w:p w14:paraId="361550E6" w14:textId="77777777" w:rsidR="0012102F" w:rsidRPr="00CD3682" w:rsidRDefault="0012102F" w:rsidP="00845247">
            <w:pPr>
              <w:jc w:val="both"/>
              <w:rPr>
                <w:rFonts w:asciiTheme="minorHAnsi" w:hAnsiTheme="minorHAnsi" w:cstheme="minorHAnsi"/>
              </w:rPr>
            </w:pPr>
            <w:r w:rsidRPr="00CD3682">
              <w:rPr>
                <w:rFonts w:cstheme="minorHAnsi"/>
              </w:rPr>
              <w:t xml:space="preserve">Date </w:t>
            </w:r>
            <w:r>
              <w:rPr>
                <w:rFonts w:cstheme="minorHAnsi"/>
              </w:rPr>
              <w:t>de la version </w:t>
            </w:r>
            <w:r w:rsidRPr="00CD3682">
              <w:rPr>
                <w:rFonts w:cstheme="minorHAnsi"/>
              </w:rPr>
              <w:t>:</w:t>
            </w:r>
          </w:p>
        </w:tc>
        <w:tc>
          <w:tcPr>
            <w:tcW w:w="6720" w:type="dxa"/>
            <w:shd w:val="clear" w:color="auto" w:fill="auto"/>
            <w:tcMar>
              <w:left w:w="103" w:type="dxa"/>
            </w:tcMar>
          </w:tcPr>
          <w:p w14:paraId="6ACD551A" w14:textId="64E2BA8E" w:rsidR="0012102F" w:rsidRPr="00CD3682" w:rsidRDefault="00567B73" w:rsidP="0084524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mars 2023</w:t>
            </w:r>
          </w:p>
        </w:tc>
      </w:tr>
      <w:tr w:rsidR="0012102F" w:rsidRPr="00CD3682" w14:paraId="68D3506B" w14:textId="77777777" w:rsidTr="00845247">
        <w:tc>
          <w:tcPr>
            <w:tcW w:w="2718" w:type="dxa"/>
            <w:shd w:val="clear" w:color="auto" w:fill="auto"/>
          </w:tcPr>
          <w:p w14:paraId="503CC041" w14:textId="77777777" w:rsidR="0012102F" w:rsidRPr="00CD3682" w:rsidRDefault="0012102F" w:rsidP="0084524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Créé par </w:t>
            </w:r>
            <w:r w:rsidRPr="00CD3682">
              <w:rPr>
                <w:rFonts w:cstheme="minorHAnsi"/>
              </w:rPr>
              <w:t>:</w:t>
            </w:r>
          </w:p>
        </w:tc>
        <w:tc>
          <w:tcPr>
            <w:tcW w:w="6720" w:type="dxa"/>
            <w:shd w:val="clear" w:color="auto" w:fill="auto"/>
            <w:tcMar>
              <w:left w:w="103" w:type="dxa"/>
            </w:tcMar>
          </w:tcPr>
          <w:p w14:paraId="45A8690F" w14:textId="14390024" w:rsidR="0012102F" w:rsidRPr="00EB4F6C" w:rsidRDefault="00567B73" w:rsidP="00845247">
            <w:pPr>
              <w:jc w:val="both"/>
              <w:rPr>
                <w:rFonts w:asciiTheme="minorHAnsi" w:hAnsiTheme="minorHAnsi" w:cstheme="minorHAnsi"/>
              </w:rPr>
            </w:pPr>
            <w:r w:rsidRPr="00EB4F6C">
              <w:rPr>
                <w:rFonts w:asciiTheme="minorHAnsi" w:hAnsiTheme="minorHAnsi" w:cstheme="minorHAnsi"/>
              </w:rPr>
              <w:t>Josée Lemay et Marie-Ève Roy</w:t>
            </w:r>
          </w:p>
        </w:tc>
      </w:tr>
      <w:tr w:rsidR="0012102F" w:rsidRPr="00CD3682" w14:paraId="5819141D" w14:textId="77777777" w:rsidTr="00845247">
        <w:tc>
          <w:tcPr>
            <w:tcW w:w="2718" w:type="dxa"/>
            <w:shd w:val="clear" w:color="auto" w:fill="auto"/>
          </w:tcPr>
          <w:p w14:paraId="0DC10F43" w14:textId="77777777" w:rsidR="0012102F" w:rsidRPr="00CD3682" w:rsidRDefault="0012102F" w:rsidP="0084524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Approuvé par </w:t>
            </w:r>
            <w:r w:rsidRPr="00CD3682">
              <w:rPr>
                <w:rFonts w:cstheme="minorHAnsi"/>
              </w:rPr>
              <w:t>:</w:t>
            </w:r>
          </w:p>
        </w:tc>
        <w:tc>
          <w:tcPr>
            <w:tcW w:w="6720" w:type="dxa"/>
            <w:shd w:val="clear" w:color="auto" w:fill="auto"/>
            <w:tcMar>
              <w:left w:w="103" w:type="dxa"/>
            </w:tcMar>
          </w:tcPr>
          <w:p w14:paraId="42733084" w14:textId="6C5AF2AA" w:rsidR="0012102F" w:rsidRPr="00EB4F6C" w:rsidRDefault="00567B73" w:rsidP="00845247">
            <w:pPr>
              <w:jc w:val="both"/>
              <w:rPr>
                <w:rFonts w:asciiTheme="minorHAnsi" w:hAnsiTheme="minorHAnsi" w:cstheme="minorHAnsi"/>
              </w:rPr>
            </w:pPr>
            <w:r w:rsidRPr="00EB4F6C">
              <w:rPr>
                <w:rFonts w:asciiTheme="minorHAnsi" w:hAnsiTheme="minorHAnsi" w:cstheme="minorHAnsi"/>
              </w:rPr>
              <w:t xml:space="preserve">Conseil administration le </w:t>
            </w:r>
            <w:r w:rsidR="00EB4F6C" w:rsidRPr="00EB4F6C">
              <w:rPr>
                <w:rFonts w:asciiTheme="minorHAnsi" w:hAnsiTheme="minorHAnsi" w:cstheme="minorHAnsi"/>
              </w:rPr>
              <w:t>15 mars 2023 (#150323-523)</w:t>
            </w:r>
          </w:p>
        </w:tc>
      </w:tr>
      <w:tr w:rsidR="0012102F" w:rsidRPr="00CD3682" w14:paraId="391FE2DA" w14:textId="77777777" w:rsidTr="00845247">
        <w:tc>
          <w:tcPr>
            <w:tcW w:w="2718" w:type="dxa"/>
            <w:shd w:val="clear" w:color="auto" w:fill="auto"/>
          </w:tcPr>
          <w:p w14:paraId="55258668" w14:textId="77777777" w:rsidR="0012102F" w:rsidRPr="00CD3682" w:rsidRDefault="0012102F" w:rsidP="0084524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Niveau de confidentialité :</w:t>
            </w:r>
          </w:p>
        </w:tc>
        <w:tc>
          <w:tcPr>
            <w:tcW w:w="6720" w:type="dxa"/>
            <w:shd w:val="clear" w:color="auto" w:fill="auto"/>
            <w:tcMar>
              <w:left w:w="103" w:type="dxa"/>
            </w:tcMar>
          </w:tcPr>
          <w:p w14:paraId="1BA236E0" w14:textId="77777777" w:rsidR="0012102F" w:rsidRPr="00CD3682" w:rsidRDefault="0012102F" w:rsidP="00845247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74E96DF" w14:textId="77777777" w:rsidR="0012102F" w:rsidRPr="00CD3682" w:rsidRDefault="0012102F" w:rsidP="0012102F">
      <w:pPr>
        <w:jc w:val="both"/>
        <w:rPr>
          <w:rFonts w:asciiTheme="minorHAnsi" w:hAnsiTheme="minorHAnsi" w:cstheme="minorHAnsi"/>
          <w:b/>
        </w:rPr>
      </w:pPr>
    </w:p>
    <w:p w14:paraId="3CFE9C0A" w14:textId="77777777" w:rsidR="0012102F" w:rsidRPr="00CD3682" w:rsidRDefault="0012102F" w:rsidP="0012102F">
      <w:pPr>
        <w:jc w:val="both"/>
        <w:rPr>
          <w:rFonts w:asciiTheme="minorHAnsi" w:hAnsiTheme="minorHAnsi" w:cstheme="minorHAnsi"/>
          <w:b/>
        </w:rPr>
      </w:pPr>
    </w:p>
    <w:p w14:paraId="0EB4F9DC" w14:textId="77777777" w:rsidR="0012102F" w:rsidRPr="00CD3682" w:rsidRDefault="0012102F" w:rsidP="0012102F">
      <w:pPr>
        <w:jc w:val="both"/>
        <w:rPr>
          <w:rFonts w:asciiTheme="minorHAnsi" w:hAnsiTheme="minorHAnsi" w:cstheme="minorHAnsi"/>
          <w:b/>
        </w:rPr>
      </w:pPr>
    </w:p>
    <w:p w14:paraId="4FE238AC" w14:textId="77777777" w:rsidR="0012102F" w:rsidRPr="00CD3682" w:rsidRDefault="0012102F" w:rsidP="0012102F">
      <w:pPr>
        <w:jc w:val="both"/>
        <w:rPr>
          <w:rFonts w:asciiTheme="minorHAnsi" w:hAnsiTheme="minorHAnsi" w:cstheme="minorHAnsi"/>
          <w:b/>
        </w:rPr>
      </w:pPr>
    </w:p>
    <w:p w14:paraId="34A510D3" w14:textId="77777777" w:rsidR="0012102F" w:rsidRPr="00CD3682" w:rsidRDefault="0012102F" w:rsidP="0012102F">
      <w:pPr>
        <w:jc w:val="both"/>
        <w:rPr>
          <w:rFonts w:asciiTheme="minorHAnsi" w:hAnsiTheme="minorHAnsi" w:cstheme="minorHAnsi"/>
          <w:b/>
        </w:rPr>
      </w:pPr>
    </w:p>
    <w:p w14:paraId="3B834F89" w14:textId="77777777" w:rsidR="0012102F" w:rsidRPr="00CD3682" w:rsidRDefault="0012102F" w:rsidP="0012102F">
      <w:pPr>
        <w:jc w:val="both"/>
        <w:rPr>
          <w:rFonts w:asciiTheme="minorHAnsi" w:hAnsiTheme="minorHAnsi" w:cstheme="minorHAnsi"/>
          <w:b/>
        </w:rPr>
      </w:pPr>
    </w:p>
    <w:p w14:paraId="378F0F4A" w14:textId="77777777" w:rsidR="0012102F" w:rsidRPr="00CD3682" w:rsidRDefault="0012102F" w:rsidP="0012102F">
      <w:pPr>
        <w:jc w:val="both"/>
        <w:rPr>
          <w:rFonts w:asciiTheme="minorHAnsi" w:hAnsiTheme="minorHAnsi" w:cstheme="minorHAnsi"/>
          <w:b/>
        </w:rPr>
      </w:pPr>
    </w:p>
    <w:p w14:paraId="064A5F88" w14:textId="77777777" w:rsidR="0012102F" w:rsidRPr="00CD3682" w:rsidRDefault="0012102F" w:rsidP="0012102F">
      <w:pPr>
        <w:jc w:val="both"/>
        <w:rPr>
          <w:rFonts w:asciiTheme="minorHAnsi" w:hAnsiTheme="minorHAnsi" w:cstheme="minorHAnsi"/>
          <w:b/>
        </w:rPr>
      </w:pPr>
    </w:p>
    <w:p w14:paraId="6E3F891E" w14:textId="77777777" w:rsidR="0012102F" w:rsidRPr="00CD3682" w:rsidRDefault="0012102F" w:rsidP="0012102F">
      <w:pPr>
        <w:jc w:val="both"/>
        <w:rPr>
          <w:rFonts w:asciiTheme="minorHAnsi" w:hAnsiTheme="minorHAnsi" w:cstheme="minorHAnsi"/>
          <w:b/>
        </w:rPr>
      </w:pPr>
    </w:p>
    <w:p w14:paraId="167C4441" w14:textId="77777777" w:rsidR="0012102F" w:rsidRPr="00CD3682" w:rsidRDefault="0012102F" w:rsidP="0012102F">
      <w:pPr>
        <w:jc w:val="both"/>
        <w:rPr>
          <w:rFonts w:asciiTheme="minorHAnsi" w:hAnsiTheme="minorHAnsi"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Historique des changements</w:t>
      </w:r>
    </w:p>
    <w:tbl>
      <w:tblPr>
        <w:tblW w:w="90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353"/>
        <w:gridCol w:w="989"/>
        <w:gridCol w:w="1703"/>
        <w:gridCol w:w="5017"/>
      </w:tblGrid>
      <w:tr w:rsidR="0012102F" w:rsidRPr="00CD3682" w14:paraId="6B837641" w14:textId="77777777" w:rsidTr="00975CCB"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532AEF" w14:textId="77777777" w:rsidR="0012102F" w:rsidRPr="00CD3682" w:rsidRDefault="0012102F" w:rsidP="0084524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D3682">
              <w:rPr>
                <w:rFonts w:cstheme="minorHAnsi"/>
                <w:b/>
              </w:rPr>
              <w:t>Date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9A2EAF0" w14:textId="77777777" w:rsidR="0012102F" w:rsidRPr="00CD3682" w:rsidRDefault="0012102F" w:rsidP="0084524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D3682">
              <w:rPr>
                <w:rFonts w:cstheme="minorHAnsi"/>
                <w:b/>
              </w:rPr>
              <w:t>Version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A1BEA68" w14:textId="77777777" w:rsidR="0012102F" w:rsidRPr="00CD3682" w:rsidRDefault="0012102F" w:rsidP="00845247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Créé par</w:t>
            </w:r>
          </w:p>
        </w:tc>
        <w:tc>
          <w:tcPr>
            <w:tcW w:w="5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BFC5CDE" w14:textId="77777777" w:rsidR="0012102F" w:rsidRPr="00CD3682" w:rsidRDefault="0012102F" w:rsidP="00845247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Description des changements</w:t>
            </w:r>
          </w:p>
        </w:tc>
      </w:tr>
      <w:tr w:rsidR="0012102F" w:rsidRPr="00CD3682" w14:paraId="01F265FE" w14:textId="77777777" w:rsidTr="00975CCB"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D5C9200" w14:textId="546EFAC3" w:rsidR="0012102F" w:rsidRPr="00CD3682" w:rsidRDefault="00567B73" w:rsidP="0084524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30/03-2023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359E38A" w14:textId="3DBAF40B" w:rsidR="0012102F" w:rsidRPr="00CD3682" w:rsidRDefault="00975CCB" w:rsidP="0084524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A7B014C" w14:textId="62376E57" w:rsidR="0012102F" w:rsidRPr="00CD3682" w:rsidRDefault="00567B73" w:rsidP="0084524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JL-MER</w:t>
            </w:r>
          </w:p>
        </w:tc>
        <w:tc>
          <w:tcPr>
            <w:tcW w:w="5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BED841F" w14:textId="421EC1A2" w:rsidR="0012102F" w:rsidRPr="00CD3682" w:rsidRDefault="0012102F" w:rsidP="00845247">
            <w:pPr>
              <w:jc w:val="both"/>
              <w:rPr>
                <w:rFonts w:asciiTheme="minorHAnsi" w:hAnsiTheme="minorHAnsi" w:cstheme="minorHAnsi"/>
              </w:rPr>
            </w:pPr>
            <w:r w:rsidRPr="00CD3682">
              <w:rPr>
                <w:lang w:val="fr"/>
              </w:rPr>
              <w:t xml:space="preserve">Plan </w:t>
            </w:r>
            <w:r w:rsidR="00975CCB">
              <w:rPr>
                <w:lang w:val="fr"/>
              </w:rPr>
              <w:t xml:space="preserve">de base </w:t>
            </w:r>
            <w:r w:rsidRPr="00CD3682">
              <w:rPr>
                <w:lang w:val="fr"/>
              </w:rPr>
              <w:t>du document</w:t>
            </w:r>
            <w:r w:rsidR="00975CCB">
              <w:rPr>
                <w:lang w:val="fr"/>
              </w:rPr>
              <w:t>.</w:t>
            </w:r>
          </w:p>
        </w:tc>
      </w:tr>
      <w:tr w:rsidR="0012102F" w:rsidRPr="00CD3682" w14:paraId="4D8CDBE2" w14:textId="77777777" w:rsidTr="00975CCB"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B3F74C0" w14:textId="77777777" w:rsidR="0012102F" w:rsidRPr="00CD3682" w:rsidRDefault="0012102F" w:rsidP="0084524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6EBB6C" w14:textId="77777777" w:rsidR="0012102F" w:rsidRPr="00CD3682" w:rsidRDefault="0012102F" w:rsidP="0084524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F190EA1" w14:textId="77777777" w:rsidR="0012102F" w:rsidRPr="00CD3682" w:rsidRDefault="0012102F" w:rsidP="0084524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F52FBA6" w14:textId="77777777" w:rsidR="0012102F" w:rsidRPr="00CD3682" w:rsidRDefault="0012102F" w:rsidP="0084524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2102F" w:rsidRPr="00CD3682" w14:paraId="7178B5D1" w14:textId="77777777" w:rsidTr="00975CCB"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FDC3901" w14:textId="77777777" w:rsidR="0012102F" w:rsidRPr="00CD3682" w:rsidRDefault="0012102F" w:rsidP="0084524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E83B547" w14:textId="77777777" w:rsidR="0012102F" w:rsidRPr="00CD3682" w:rsidRDefault="0012102F" w:rsidP="0084524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DCE3D70" w14:textId="77777777" w:rsidR="0012102F" w:rsidRPr="00CD3682" w:rsidRDefault="0012102F" w:rsidP="0084524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C17A098" w14:textId="77777777" w:rsidR="0012102F" w:rsidRPr="00CD3682" w:rsidRDefault="0012102F" w:rsidP="0084524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2102F" w:rsidRPr="00CD3682" w14:paraId="33347FED" w14:textId="77777777" w:rsidTr="00975CCB"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E40185" w14:textId="77777777" w:rsidR="0012102F" w:rsidRPr="00CD3682" w:rsidRDefault="0012102F" w:rsidP="0084524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C1B290D" w14:textId="77777777" w:rsidR="0012102F" w:rsidRPr="00CD3682" w:rsidRDefault="0012102F" w:rsidP="0084524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902BA7A" w14:textId="77777777" w:rsidR="0012102F" w:rsidRPr="00CD3682" w:rsidRDefault="0012102F" w:rsidP="0084524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8B8C399" w14:textId="77777777" w:rsidR="0012102F" w:rsidRPr="00CD3682" w:rsidRDefault="0012102F" w:rsidP="0084524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2102F" w:rsidRPr="00CD3682" w14:paraId="6A65773C" w14:textId="77777777" w:rsidTr="00975CCB"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01C7B8C" w14:textId="77777777" w:rsidR="0012102F" w:rsidRPr="00CD3682" w:rsidRDefault="0012102F" w:rsidP="0084524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FBC522B" w14:textId="77777777" w:rsidR="0012102F" w:rsidRPr="00CD3682" w:rsidRDefault="0012102F" w:rsidP="0084524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6A9312F" w14:textId="77777777" w:rsidR="0012102F" w:rsidRPr="00CD3682" w:rsidRDefault="0012102F" w:rsidP="0084524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3D0C013" w14:textId="77777777" w:rsidR="0012102F" w:rsidRPr="00CD3682" w:rsidRDefault="0012102F" w:rsidP="0084524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2102F" w:rsidRPr="00CD3682" w14:paraId="10A6655E" w14:textId="77777777" w:rsidTr="00975CCB"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19C2CEF" w14:textId="77777777" w:rsidR="0012102F" w:rsidRPr="00CD3682" w:rsidRDefault="0012102F" w:rsidP="0084524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F74BB7E" w14:textId="77777777" w:rsidR="0012102F" w:rsidRPr="00CD3682" w:rsidRDefault="0012102F" w:rsidP="0084524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C49B57A" w14:textId="77777777" w:rsidR="0012102F" w:rsidRPr="00CD3682" w:rsidRDefault="0012102F" w:rsidP="0084524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2C3E7F4" w14:textId="77777777" w:rsidR="0012102F" w:rsidRPr="00CD3682" w:rsidRDefault="0012102F" w:rsidP="0084524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2102F" w:rsidRPr="00CD3682" w14:paraId="3768D40B" w14:textId="77777777" w:rsidTr="00975CCB"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A8B85F0" w14:textId="77777777" w:rsidR="0012102F" w:rsidRPr="00CD3682" w:rsidRDefault="0012102F" w:rsidP="0084524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59E2A45" w14:textId="77777777" w:rsidR="0012102F" w:rsidRPr="00CD3682" w:rsidRDefault="0012102F" w:rsidP="0084524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FC869FE" w14:textId="77777777" w:rsidR="0012102F" w:rsidRPr="00CD3682" w:rsidRDefault="0012102F" w:rsidP="0084524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696EF59" w14:textId="77777777" w:rsidR="0012102F" w:rsidRPr="00CD3682" w:rsidRDefault="0012102F" w:rsidP="00845247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B9B7200" w14:textId="77777777" w:rsidR="0012102F" w:rsidRPr="00CD3682" w:rsidRDefault="0012102F" w:rsidP="0012102F">
      <w:pPr>
        <w:jc w:val="both"/>
        <w:rPr>
          <w:rFonts w:asciiTheme="minorHAnsi" w:hAnsiTheme="minorHAnsi" w:cstheme="minorHAnsi"/>
        </w:rPr>
      </w:pPr>
    </w:p>
    <w:p w14:paraId="25715932" w14:textId="77777777" w:rsidR="0012102F" w:rsidRPr="00CD3682" w:rsidRDefault="0012102F" w:rsidP="0012102F">
      <w:pPr>
        <w:jc w:val="both"/>
        <w:rPr>
          <w:rFonts w:asciiTheme="minorHAnsi" w:hAnsiTheme="minorHAnsi" w:cstheme="minorHAnsi"/>
        </w:rPr>
      </w:pPr>
    </w:p>
    <w:p w14:paraId="08779BEC" w14:textId="77777777" w:rsidR="0012102F" w:rsidRPr="00CD3682" w:rsidRDefault="0012102F" w:rsidP="0012102F">
      <w:pPr>
        <w:jc w:val="both"/>
        <w:rPr>
          <w:rFonts w:asciiTheme="minorHAnsi" w:hAnsiTheme="minorHAnsi" w:cstheme="minorHAnsi"/>
          <w:b/>
          <w:sz w:val="28"/>
        </w:rPr>
      </w:pPr>
      <w:r w:rsidRPr="00CD3682">
        <w:rPr>
          <w:b/>
          <w:sz w:val="28"/>
          <w:lang w:val="fr"/>
        </w:rPr>
        <w:t>Table des matières</w:t>
      </w:r>
    </w:p>
    <w:sdt>
      <w:sdtPr>
        <w:rPr>
          <w:b w:val="0"/>
          <w:bCs w:val="0"/>
          <w:caps w:val="0"/>
          <w:sz w:val="22"/>
          <w:szCs w:val="22"/>
        </w:rPr>
        <w:id w:val="1104114509"/>
        <w:docPartObj>
          <w:docPartGallery w:val="Table of Contents"/>
          <w:docPartUnique/>
        </w:docPartObj>
      </w:sdtPr>
      <w:sdtEndPr/>
      <w:sdtContent>
        <w:p w14:paraId="2529FA82" w14:textId="70282196" w:rsidR="0062024B" w:rsidRDefault="0012102F">
          <w:pPr>
            <w:pStyle w:val="TM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fr-CA"/>
            </w:rPr>
          </w:pPr>
          <w:r w:rsidRPr="00CD3682">
            <w:rPr>
              <w:lang w:val="fr"/>
            </w:rPr>
            <w:fldChar w:fldCharType="begin"/>
          </w:r>
          <w:r w:rsidRPr="00CD3682">
            <w:rPr>
              <w:lang w:val="fr"/>
            </w:rPr>
            <w:instrText>TOC \z \o "1-3" \u \h</w:instrText>
          </w:r>
          <w:r w:rsidRPr="00CD3682">
            <w:rPr>
              <w:lang w:val="fr"/>
            </w:rPr>
            <w:fldChar w:fldCharType="separate"/>
          </w:r>
          <w:hyperlink w:anchor="_Toc95486342" w:history="1">
            <w:r w:rsidR="0062024B" w:rsidRPr="00E80789">
              <w:rPr>
                <w:rStyle w:val="Lienhypertexte"/>
                <w:noProof/>
              </w:rPr>
              <w:t>1.</w:t>
            </w:r>
            <w:r w:rsidR="0062024B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fr-CA"/>
              </w:rPr>
              <w:tab/>
            </w:r>
            <w:r w:rsidR="0062024B" w:rsidRPr="00E80789">
              <w:rPr>
                <w:rStyle w:val="Lienhypertexte"/>
                <w:noProof/>
              </w:rPr>
              <w:t>Objectif</w:t>
            </w:r>
            <w:r w:rsidR="0062024B">
              <w:rPr>
                <w:noProof/>
                <w:webHidden/>
              </w:rPr>
              <w:tab/>
            </w:r>
            <w:r w:rsidR="0062024B">
              <w:rPr>
                <w:noProof/>
                <w:webHidden/>
              </w:rPr>
              <w:fldChar w:fldCharType="begin"/>
            </w:r>
            <w:r w:rsidR="0062024B">
              <w:rPr>
                <w:noProof/>
                <w:webHidden/>
              </w:rPr>
              <w:instrText xml:space="preserve"> PAGEREF _Toc95486342 \h </w:instrText>
            </w:r>
            <w:r w:rsidR="0062024B">
              <w:rPr>
                <w:noProof/>
                <w:webHidden/>
              </w:rPr>
            </w:r>
            <w:r w:rsidR="0062024B">
              <w:rPr>
                <w:noProof/>
                <w:webHidden/>
              </w:rPr>
              <w:fldChar w:fldCharType="separate"/>
            </w:r>
            <w:r w:rsidR="0062024B">
              <w:rPr>
                <w:noProof/>
                <w:webHidden/>
              </w:rPr>
              <w:t>3</w:t>
            </w:r>
            <w:r w:rsidR="0062024B">
              <w:rPr>
                <w:noProof/>
                <w:webHidden/>
              </w:rPr>
              <w:fldChar w:fldCharType="end"/>
            </w:r>
          </w:hyperlink>
        </w:p>
        <w:p w14:paraId="567C0F89" w14:textId="326514D1" w:rsidR="0062024B" w:rsidRDefault="00EB4F6C">
          <w:pPr>
            <w:pStyle w:val="TM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fr-CA"/>
            </w:rPr>
          </w:pPr>
          <w:hyperlink w:anchor="_Toc95486343" w:history="1">
            <w:r w:rsidR="0062024B" w:rsidRPr="00E80789">
              <w:rPr>
                <w:rStyle w:val="Lienhypertexte"/>
                <w:noProof/>
              </w:rPr>
              <w:t>2.</w:t>
            </w:r>
            <w:r w:rsidR="0062024B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fr-CA"/>
              </w:rPr>
              <w:tab/>
            </w:r>
            <w:r w:rsidR="0062024B" w:rsidRPr="00E80789">
              <w:rPr>
                <w:rStyle w:val="Lienhypertexte"/>
                <w:noProof/>
              </w:rPr>
              <w:t>Poste</w:t>
            </w:r>
            <w:r w:rsidR="0062024B">
              <w:rPr>
                <w:noProof/>
                <w:webHidden/>
              </w:rPr>
              <w:tab/>
            </w:r>
            <w:r w:rsidR="0062024B">
              <w:rPr>
                <w:noProof/>
                <w:webHidden/>
              </w:rPr>
              <w:fldChar w:fldCharType="begin"/>
            </w:r>
            <w:r w:rsidR="0062024B">
              <w:rPr>
                <w:noProof/>
                <w:webHidden/>
              </w:rPr>
              <w:instrText xml:space="preserve"> PAGEREF _Toc95486343 \h </w:instrText>
            </w:r>
            <w:r w:rsidR="0062024B">
              <w:rPr>
                <w:noProof/>
                <w:webHidden/>
              </w:rPr>
            </w:r>
            <w:r w:rsidR="0062024B">
              <w:rPr>
                <w:noProof/>
                <w:webHidden/>
              </w:rPr>
              <w:fldChar w:fldCharType="separate"/>
            </w:r>
            <w:r w:rsidR="0062024B">
              <w:rPr>
                <w:noProof/>
                <w:webHidden/>
              </w:rPr>
              <w:t>3</w:t>
            </w:r>
            <w:r w:rsidR="0062024B">
              <w:rPr>
                <w:noProof/>
                <w:webHidden/>
              </w:rPr>
              <w:fldChar w:fldCharType="end"/>
            </w:r>
          </w:hyperlink>
        </w:p>
        <w:p w14:paraId="706CF174" w14:textId="1FFC3C83" w:rsidR="0062024B" w:rsidRDefault="00EB4F6C">
          <w:pPr>
            <w:pStyle w:val="TM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fr-CA"/>
            </w:rPr>
          </w:pPr>
          <w:hyperlink w:anchor="_Toc95486344" w:history="1">
            <w:r w:rsidR="0062024B" w:rsidRPr="00E80789">
              <w:rPr>
                <w:rStyle w:val="Lienhypertexte"/>
                <w:rFonts w:eastAsia="Times New Roman" w:cstheme="minorHAnsi"/>
                <w:noProof/>
              </w:rPr>
              <w:t>3.</w:t>
            </w:r>
            <w:r w:rsidR="0062024B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fr-CA"/>
              </w:rPr>
              <w:tab/>
            </w:r>
            <w:r w:rsidR="0062024B" w:rsidRPr="00E80789">
              <w:rPr>
                <w:rStyle w:val="Lienhypertexte"/>
                <w:rFonts w:eastAsia="Times New Roman" w:cstheme="minorHAnsi"/>
                <w:noProof/>
              </w:rPr>
              <w:t>Responsabilités</w:t>
            </w:r>
            <w:r w:rsidR="0062024B">
              <w:rPr>
                <w:noProof/>
                <w:webHidden/>
              </w:rPr>
              <w:tab/>
            </w:r>
            <w:r w:rsidR="0062024B">
              <w:rPr>
                <w:noProof/>
                <w:webHidden/>
              </w:rPr>
              <w:fldChar w:fldCharType="begin"/>
            </w:r>
            <w:r w:rsidR="0062024B">
              <w:rPr>
                <w:noProof/>
                <w:webHidden/>
              </w:rPr>
              <w:instrText xml:space="preserve"> PAGEREF _Toc95486344 \h </w:instrText>
            </w:r>
            <w:r w:rsidR="0062024B">
              <w:rPr>
                <w:noProof/>
                <w:webHidden/>
              </w:rPr>
            </w:r>
            <w:r w:rsidR="0062024B">
              <w:rPr>
                <w:noProof/>
                <w:webHidden/>
              </w:rPr>
              <w:fldChar w:fldCharType="separate"/>
            </w:r>
            <w:r w:rsidR="0062024B">
              <w:rPr>
                <w:noProof/>
                <w:webHidden/>
              </w:rPr>
              <w:t>3</w:t>
            </w:r>
            <w:r w:rsidR="0062024B">
              <w:rPr>
                <w:noProof/>
                <w:webHidden/>
              </w:rPr>
              <w:fldChar w:fldCharType="end"/>
            </w:r>
          </w:hyperlink>
        </w:p>
        <w:p w14:paraId="1E77E48E" w14:textId="4C4B596C" w:rsidR="0062024B" w:rsidRDefault="00EB4F6C">
          <w:pPr>
            <w:pStyle w:val="TM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fr-CA"/>
            </w:rPr>
          </w:pPr>
          <w:hyperlink w:anchor="_Toc95486345" w:history="1">
            <w:r w:rsidR="0062024B" w:rsidRPr="00E80789">
              <w:rPr>
                <w:rStyle w:val="Lienhypertexte"/>
                <w:noProof/>
              </w:rPr>
              <w:t>4.</w:t>
            </w:r>
            <w:r w:rsidR="0062024B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fr-CA"/>
              </w:rPr>
              <w:tab/>
            </w:r>
            <w:r w:rsidR="0062024B" w:rsidRPr="00E80789">
              <w:rPr>
                <w:rStyle w:val="Lienhypertexte"/>
                <w:noProof/>
              </w:rPr>
              <w:t>Autorité</w:t>
            </w:r>
            <w:r w:rsidR="0062024B">
              <w:rPr>
                <w:noProof/>
                <w:webHidden/>
              </w:rPr>
              <w:tab/>
            </w:r>
            <w:r w:rsidR="0062024B">
              <w:rPr>
                <w:noProof/>
                <w:webHidden/>
              </w:rPr>
              <w:fldChar w:fldCharType="begin"/>
            </w:r>
            <w:r w:rsidR="0062024B">
              <w:rPr>
                <w:noProof/>
                <w:webHidden/>
              </w:rPr>
              <w:instrText xml:space="preserve"> PAGEREF _Toc95486345 \h </w:instrText>
            </w:r>
            <w:r w:rsidR="0062024B">
              <w:rPr>
                <w:noProof/>
                <w:webHidden/>
              </w:rPr>
            </w:r>
            <w:r w:rsidR="0062024B">
              <w:rPr>
                <w:noProof/>
                <w:webHidden/>
              </w:rPr>
              <w:fldChar w:fldCharType="separate"/>
            </w:r>
            <w:r w:rsidR="0062024B">
              <w:rPr>
                <w:noProof/>
                <w:webHidden/>
              </w:rPr>
              <w:t>4</w:t>
            </w:r>
            <w:r w:rsidR="0062024B">
              <w:rPr>
                <w:noProof/>
                <w:webHidden/>
              </w:rPr>
              <w:fldChar w:fldCharType="end"/>
            </w:r>
          </w:hyperlink>
        </w:p>
        <w:p w14:paraId="7887E756" w14:textId="3F0B08A7" w:rsidR="0062024B" w:rsidRDefault="00EB4F6C">
          <w:pPr>
            <w:pStyle w:val="TM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fr-CA"/>
            </w:rPr>
          </w:pPr>
          <w:hyperlink w:anchor="_Toc95486346" w:history="1">
            <w:r w:rsidR="0062024B" w:rsidRPr="00E80789">
              <w:rPr>
                <w:rStyle w:val="Lienhypertexte"/>
                <w:noProof/>
              </w:rPr>
              <w:t>5.</w:t>
            </w:r>
            <w:r w:rsidR="0062024B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fr-CA"/>
              </w:rPr>
              <w:tab/>
            </w:r>
            <w:r w:rsidR="0062024B" w:rsidRPr="00E80789">
              <w:rPr>
                <w:rStyle w:val="Lienhypertexte"/>
                <w:noProof/>
              </w:rPr>
              <w:t>Validité et gestion des documents</w:t>
            </w:r>
            <w:r w:rsidR="0062024B">
              <w:rPr>
                <w:noProof/>
                <w:webHidden/>
              </w:rPr>
              <w:tab/>
            </w:r>
            <w:r w:rsidR="0062024B">
              <w:rPr>
                <w:noProof/>
                <w:webHidden/>
              </w:rPr>
              <w:fldChar w:fldCharType="begin"/>
            </w:r>
            <w:r w:rsidR="0062024B">
              <w:rPr>
                <w:noProof/>
                <w:webHidden/>
              </w:rPr>
              <w:instrText xml:space="preserve"> PAGEREF _Toc95486346 \h </w:instrText>
            </w:r>
            <w:r w:rsidR="0062024B">
              <w:rPr>
                <w:noProof/>
                <w:webHidden/>
              </w:rPr>
            </w:r>
            <w:r w:rsidR="0062024B">
              <w:rPr>
                <w:noProof/>
                <w:webHidden/>
              </w:rPr>
              <w:fldChar w:fldCharType="separate"/>
            </w:r>
            <w:r w:rsidR="0062024B">
              <w:rPr>
                <w:noProof/>
                <w:webHidden/>
              </w:rPr>
              <w:t>4</w:t>
            </w:r>
            <w:r w:rsidR="0062024B">
              <w:rPr>
                <w:noProof/>
                <w:webHidden/>
              </w:rPr>
              <w:fldChar w:fldCharType="end"/>
            </w:r>
          </w:hyperlink>
        </w:p>
        <w:p w14:paraId="4E69EA55" w14:textId="10C2C096" w:rsidR="0012102F" w:rsidRPr="00CD3682" w:rsidRDefault="0012102F" w:rsidP="0012102F">
          <w:r w:rsidRPr="00CD3682">
            <w:fldChar w:fldCharType="end"/>
          </w:r>
        </w:p>
      </w:sdtContent>
    </w:sdt>
    <w:p w14:paraId="504F9964" w14:textId="77777777" w:rsidR="0012102F" w:rsidRPr="00CD3682" w:rsidRDefault="0012102F" w:rsidP="0012102F">
      <w:pPr>
        <w:spacing w:after="0" w:line="240" w:lineRule="auto"/>
        <w:rPr>
          <w:b/>
          <w:sz w:val="28"/>
          <w:szCs w:val="28"/>
        </w:rPr>
      </w:pPr>
      <w:r w:rsidRPr="00CD3682">
        <w:br w:type="page"/>
      </w:r>
    </w:p>
    <w:p w14:paraId="18BC7B5B" w14:textId="77777777" w:rsidR="0012102F" w:rsidRPr="009A4052" w:rsidRDefault="0012102F" w:rsidP="0012102F">
      <w:pPr>
        <w:pStyle w:val="Titre1"/>
        <w:numPr>
          <w:ilvl w:val="0"/>
          <w:numId w:val="2"/>
        </w:numPr>
      </w:pPr>
      <w:bookmarkStart w:id="0" w:name="_Toc95486342"/>
      <w:r w:rsidRPr="009A4052">
        <w:lastRenderedPageBreak/>
        <w:t>Objectif</w:t>
      </w:r>
      <w:bookmarkEnd w:id="0"/>
    </w:p>
    <w:p w14:paraId="11D5065D" w14:textId="2939E9C3" w:rsidR="0012102F" w:rsidRPr="009A4052" w:rsidRDefault="0012102F" w:rsidP="00E60B13">
      <w:pPr>
        <w:jc w:val="both"/>
      </w:pPr>
      <w:r>
        <w:t>Afin de se conformer aux dispositions</w:t>
      </w:r>
      <w:r w:rsidR="00975CCB">
        <w:t xml:space="preserve"> de la </w:t>
      </w:r>
      <w:r w:rsidR="00975CCB" w:rsidRPr="2277B0D9">
        <w:rPr>
          <w:i/>
          <w:iCs/>
        </w:rPr>
        <w:t>Loi sur la protection des renseignements personnels dans le secteur privé</w:t>
      </w:r>
      <w:r w:rsidR="00975CCB">
        <w:t>, CQLR c P-39.1 (la «</w:t>
      </w:r>
      <w:r w:rsidR="00E35F3D">
        <w:t> </w:t>
      </w:r>
      <w:r w:rsidR="00975CCB" w:rsidRPr="2277B0D9">
        <w:rPr>
          <w:b/>
          <w:bCs/>
        </w:rPr>
        <w:t>Loi sur le secteur privé</w:t>
      </w:r>
      <w:r w:rsidR="00E35F3D">
        <w:t> </w:t>
      </w:r>
      <w:r w:rsidR="00975CCB">
        <w:t xml:space="preserve">») et de la </w:t>
      </w:r>
      <w:r w:rsidR="00975CCB" w:rsidRPr="2277B0D9">
        <w:rPr>
          <w:i/>
          <w:iCs/>
        </w:rPr>
        <w:t>Loi modernisant des dispositions législatives en matière de protection des renseignements personnels</w:t>
      </w:r>
      <w:r w:rsidR="00975CCB">
        <w:t>, SQ 2021, c 25 (la «</w:t>
      </w:r>
      <w:r w:rsidR="00E35F3D">
        <w:t> </w:t>
      </w:r>
      <w:r w:rsidR="00975CCB" w:rsidRPr="2277B0D9">
        <w:rPr>
          <w:b/>
          <w:bCs/>
        </w:rPr>
        <w:t>Loi 25</w:t>
      </w:r>
      <w:r w:rsidR="00E35F3D">
        <w:t> </w:t>
      </w:r>
      <w:r w:rsidR="00975CCB">
        <w:t>», sanctionnée le 22 septembre 2021)</w:t>
      </w:r>
      <w:r w:rsidR="00FB75D0">
        <w:t xml:space="preserve"> [</w:t>
      </w:r>
      <w:r w:rsidR="00FB75D0" w:rsidRPr="2277B0D9">
        <w:rPr>
          <w:b/>
          <w:bCs/>
        </w:rPr>
        <w:t>le cas échéant</w:t>
      </w:r>
      <w:r w:rsidR="00FB75D0">
        <w:t xml:space="preserve"> : et </w:t>
      </w:r>
      <w:r>
        <w:t>du règlement général de l’UE sur la protection des données (</w:t>
      </w:r>
      <w:r w:rsidR="00E35F3D">
        <w:t>« </w:t>
      </w:r>
      <w:r w:rsidRPr="2277B0D9">
        <w:rPr>
          <w:b/>
          <w:bCs/>
        </w:rPr>
        <w:t>RGPD</w:t>
      </w:r>
      <w:r w:rsidR="00E35F3D">
        <w:t> »</w:t>
      </w:r>
      <w:r>
        <w:t xml:space="preserve">) et d’assurer la conformité continue de toutes les activités de base pour </w:t>
      </w:r>
      <w:r w:rsidR="00567B73">
        <w:t>le Centre d’Action bénévole Domaine-du-Roy</w:t>
      </w:r>
      <w:r>
        <w:t xml:space="preserve"> (ci-après nommée </w:t>
      </w:r>
      <w:r w:rsidR="00FB75D0">
        <w:t xml:space="preserve">la </w:t>
      </w:r>
      <w:r>
        <w:t>« </w:t>
      </w:r>
      <w:r w:rsidR="00AE49C3">
        <w:rPr>
          <w:b/>
          <w:bCs/>
        </w:rPr>
        <w:t>Organisation</w:t>
      </w:r>
      <w:r>
        <w:t xml:space="preserve"> »), il a été décidé que la fonction de </w:t>
      </w:r>
      <w:r w:rsidR="00FB75D0">
        <w:t>responsable à la protection des renseignements personnels</w:t>
      </w:r>
      <w:r>
        <w:t xml:space="preserve"> serait créée.</w:t>
      </w:r>
    </w:p>
    <w:p w14:paraId="3461C905" w14:textId="284EE014" w:rsidR="0012102F" w:rsidRPr="009A4052" w:rsidRDefault="00567B73" w:rsidP="00E60B13">
      <w:pPr>
        <w:jc w:val="both"/>
      </w:pPr>
      <w:r>
        <w:t>La</w:t>
      </w:r>
      <w:r w:rsidR="0012102F">
        <w:t xml:space="preserve"> </w:t>
      </w:r>
      <w:r>
        <w:t>personne responsable de la protection des renseignements personnels PRP</w:t>
      </w:r>
      <w:r w:rsidR="0012102F">
        <w:t xml:space="preserve"> est chargé</w:t>
      </w:r>
      <w:r>
        <w:t>e</w:t>
      </w:r>
      <w:r w:rsidR="0012102F">
        <w:t xml:space="preserve"> d’assurer la conformité globale </w:t>
      </w:r>
      <w:r w:rsidR="00BF5278">
        <w:t>de la Loi sur le secteur privé et des dispositions de la Loi 25 [</w:t>
      </w:r>
      <w:r w:rsidR="00BF5278" w:rsidRPr="2277B0D9">
        <w:rPr>
          <w:b/>
          <w:bCs/>
        </w:rPr>
        <w:t>le cas échéant</w:t>
      </w:r>
      <w:r w:rsidR="00BF5278">
        <w:t xml:space="preserve"> : et </w:t>
      </w:r>
      <w:r w:rsidR="0012102F">
        <w:t>au RGPD</w:t>
      </w:r>
      <w:r w:rsidR="00BF5278">
        <w:t>]</w:t>
      </w:r>
      <w:r w:rsidR="0012102F">
        <w:t xml:space="preserve"> pour toutes les activités de traitement des données pers</w:t>
      </w:r>
      <w:r w:rsidR="00EB4F6C">
        <w:t>onnelles du Centre d’Action Bénévole Domaine-du-Roy</w:t>
      </w:r>
      <w:bookmarkStart w:id="1" w:name="_GoBack"/>
      <w:bookmarkEnd w:id="1"/>
      <w:r w:rsidR="0012102F">
        <w:t>.</w:t>
      </w:r>
    </w:p>
    <w:p w14:paraId="2669973D" w14:textId="77777777" w:rsidR="0012102F" w:rsidRPr="009A4052" w:rsidRDefault="0012102F" w:rsidP="00E60B13">
      <w:pPr>
        <w:jc w:val="both"/>
      </w:pPr>
    </w:p>
    <w:p w14:paraId="3BDBD182" w14:textId="77777777" w:rsidR="0012102F" w:rsidRPr="009A4052" w:rsidRDefault="0012102F" w:rsidP="00E60B13">
      <w:pPr>
        <w:pStyle w:val="Titre1"/>
        <w:numPr>
          <w:ilvl w:val="0"/>
          <w:numId w:val="2"/>
        </w:numPr>
        <w:jc w:val="both"/>
      </w:pPr>
      <w:bookmarkStart w:id="2" w:name="_Toc95486343"/>
      <w:r w:rsidRPr="009A4052">
        <w:t>Poste</w:t>
      </w:r>
      <w:bookmarkEnd w:id="2"/>
    </w:p>
    <w:p w14:paraId="7B01339A" w14:textId="7B10B546" w:rsidR="0012102F" w:rsidRPr="009A4052" w:rsidRDefault="00567B73" w:rsidP="00E60B13">
      <w:pPr>
        <w:jc w:val="both"/>
      </w:pPr>
      <w:r>
        <w:t>La PRP</w:t>
      </w:r>
      <w:r w:rsidR="0012102F" w:rsidRPr="009A4052">
        <w:t xml:space="preserve"> est une fonction indépendante au sein de </w:t>
      </w:r>
      <w:r>
        <w:t>l’o</w:t>
      </w:r>
      <w:r w:rsidR="00B66F6F">
        <w:t>rganisation</w:t>
      </w:r>
      <w:r w:rsidR="0012102F" w:rsidRPr="009A4052">
        <w:t xml:space="preserve"> qui relève directement du </w:t>
      </w:r>
      <w:r>
        <w:t xml:space="preserve">conseil d’administration. </w:t>
      </w:r>
    </w:p>
    <w:p w14:paraId="782590CE" w14:textId="34E0A251" w:rsidR="0012102F" w:rsidRPr="009A4052" w:rsidRDefault="0012102F" w:rsidP="00E60B13">
      <w:pPr>
        <w:jc w:val="both"/>
      </w:pPr>
      <w:r w:rsidRPr="009A4052">
        <w:t xml:space="preserve">Afin de garantir l’indépendance du </w:t>
      </w:r>
      <w:r w:rsidR="002C2D83" w:rsidRPr="002C2D83">
        <w:t>responsable à la protection des renseignements personnels</w:t>
      </w:r>
      <w:r w:rsidRPr="009A4052">
        <w:t>, il ne doit en aucun cas être licencié ou pénalisé lors de l’exécution des éléments 1 à 11 énumérés dans la section suivante.</w:t>
      </w:r>
    </w:p>
    <w:p w14:paraId="54312466" w14:textId="23660094" w:rsidR="0012102F" w:rsidRPr="009A4052" w:rsidRDefault="0012102F" w:rsidP="00E60B13">
      <w:pPr>
        <w:jc w:val="both"/>
      </w:pPr>
      <w:r w:rsidRPr="009A4052">
        <w:t xml:space="preserve">Afin de prévenir tout cas de conflit d’intérêts, </w:t>
      </w:r>
      <w:r w:rsidR="00567B73">
        <w:t>la PRP</w:t>
      </w:r>
      <w:r w:rsidR="002C2D83" w:rsidRPr="002C2D83">
        <w:t xml:space="preserve"> </w:t>
      </w:r>
      <w:r w:rsidRPr="009A4052">
        <w:t xml:space="preserve">n’occupera aucun poste au sein de </w:t>
      </w:r>
      <w:r w:rsidR="00567B73">
        <w:t>l’o</w:t>
      </w:r>
      <w:r w:rsidR="00B66F6F" w:rsidRPr="009A4052">
        <w:t>rganisation</w:t>
      </w:r>
      <w:r w:rsidRPr="009A4052">
        <w:t xml:space="preserve"> qui l’amène à déterminer les finalités et les moyens du traitement des données à caractère personnel.</w:t>
      </w:r>
    </w:p>
    <w:p w14:paraId="7C4E36BE" w14:textId="77777777" w:rsidR="0012102F" w:rsidRPr="009A4052" w:rsidRDefault="0012102F" w:rsidP="00E60B13">
      <w:pPr>
        <w:jc w:val="both"/>
        <w:rPr>
          <w:rFonts w:asciiTheme="minorHAnsi" w:eastAsia="Times New Roman" w:hAnsiTheme="minorHAnsi" w:cstheme="minorHAnsi"/>
        </w:rPr>
      </w:pPr>
    </w:p>
    <w:p w14:paraId="5F97011F" w14:textId="77777777" w:rsidR="0012102F" w:rsidRPr="00486BA8" w:rsidRDefault="0012102F" w:rsidP="00E60B13">
      <w:pPr>
        <w:pStyle w:val="Titre1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color w:val="000000"/>
        </w:rPr>
      </w:pPr>
      <w:bookmarkStart w:id="3" w:name="_Toc95486344"/>
      <w:r w:rsidRPr="00486BA8">
        <w:rPr>
          <w:rFonts w:eastAsia="Times New Roman" w:cstheme="minorHAnsi"/>
          <w:color w:val="000000"/>
        </w:rPr>
        <w:t>Responsabilités</w:t>
      </w:r>
      <w:bookmarkEnd w:id="3"/>
    </w:p>
    <w:p w14:paraId="3F12E3E5" w14:textId="43F5B030" w:rsidR="0012102F" w:rsidRPr="00CD3682" w:rsidRDefault="0012102F" w:rsidP="00E60B13">
      <w:pPr>
        <w:jc w:val="both"/>
      </w:pPr>
      <w:r w:rsidRPr="00CD3682">
        <w:rPr>
          <w:lang w:val="fr"/>
        </w:rPr>
        <w:t xml:space="preserve">Les responsabilités </w:t>
      </w:r>
      <w:r w:rsidR="00567B73">
        <w:rPr>
          <w:lang w:val="fr"/>
        </w:rPr>
        <w:t>de la PRP</w:t>
      </w:r>
      <w:r w:rsidR="006E55C8" w:rsidRPr="006E55C8">
        <w:rPr>
          <w:lang w:val="fr"/>
        </w:rPr>
        <w:t xml:space="preserve"> </w:t>
      </w:r>
      <w:r w:rsidRPr="00CD3682">
        <w:rPr>
          <w:lang w:val="fr"/>
        </w:rPr>
        <w:t>sont les suivantes</w:t>
      </w:r>
      <w:r w:rsidR="006E55C8">
        <w:rPr>
          <w:lang w:val="fr"/>
        </w:rPr>
        <w:t> </w:t>
      </w:r>
      <w:r w:rsidRPr="00CD3682">
        <w:rPr>
          <w:lang w:val="fr"/>
        </w:rPr>
        <w:t>:</w:t>
      </w:r>
    </w:p>
    <w:p w14:paraId="52BD95AB" w14:textId="287604BA" w:rsidR="0012102F" w:rsidRPr="00CD3682" w:rsidRDefault="0012102F" w:rsidP="00E60B13">
      <w:pPr>
        <w:pStyle w:val="Paragraphedeliste"/>
        <w:numPr>
          <w:ilvl w:val="0"/>
          <w:numId w:val="3"/>
        </w:numPr>
        <w:jc w:val="both"/>
      </w:pPr>
      <w:r w:rsidRPr="7A4F2AFC">
        <w:rPr>
          <w:color w:val="000000" w:themeColor="text1"/>
          <w:lang w:val="fr"/>
        </w:rPr>
        <w:t xml:space="preserve">Fournir et tenir à jour la documentation nécessaire pour démontrer la conformité </w:t>
      </w:r>
      <w:r w:rsidR="006E55C8" w:rsidRPr="7A4F2AFC">
        <w:rPr>
          <w:color w:val="000000" w:themeColor="text1"/>
          <w:lang w:val="fr"/>
        </w:rPr>
        <w:t xml:space="preserve">à la Loi sur le secteur privé et à la Loi </w:t>
      </w:r>
      <w:r w:rsidR="006E55C8" w:rsidRPr="00486BA8">
        <w:rPr>
          <w:color w:val="000000" w:themeColor="text1"/>
          <w:lang w:val="fr"/>
        </w:rPr>
        <w:t>25 [</w:t>
      </w:r>
      <w:r w:rsidR="006E55C8" w:rsidRPr="00486BA8">
        <w:rPr>
          <w:b/>
          <w:bCs/>
          <w:color w:val="000000" w:themeColor="text1"/>
          <w:lang w:val="fr"/>
        </w:rPr>
        <w:t>le cas éc</w:t>
      </w:r>
      <w:r w:rsidR="00F4565A" w:rsidRPr="00486BA8">
        <w:rPr>
          <w:b/>
          <w:bCs/>
          <w:color w:val="000000" w:themeColor="text1"/>
          <w:lang w:val="fr"/>
        </w:rPr>
        <w:t>héant</w:t>
      </w:r>
      <w:r w:rsidR="00F4565A" w:rsidRPr="7A4F2AFC">
        <w:rPr>
          <w:color w:val="000000" w:themeColor="text1"/>
          <w:lang w:val="fr"/>
        </w:rPr>
        <w:t xml:space="preserve"> : et </w:t>
      </w:r>
      <w:r w:rsidRPr="7A4F2AFC">
        <w:rPr>
          <w:color w:val="000000" w:themeColor="text1"/>
          <w:lang w:val="fr"/>
        </w:rPr>
        <w:t>au RGPD</w:t>
      </w:r>
      <w:r w:rsidR="00F4565A" w:rsidRPr="7A4F2AFC">
        <w:rPr>
          <w:color w:val="000000" w:themeColor="text1"/>
          <w:lang w:val="fr"/>
        </w:rPr>
        <w:t>]</w:t>
      </w:r>
      <w:r w:rsidRPr="7A4F2AFC">
        <w:rPr>
          <w:color w:val="000000" w:themeColor="text1"/>
          <w:lang w:val="fr"/>
        </w:rPr>
        <w:t>, y compris, mais sans s’y limiter, les politiques, procédures, modèles, formulaires et s’assurer qu’ils sont tenus à jour.</w:t>
      </w:r>
    </w:p>
    <w:p w14:paraId="4E2393EB" w14:textId="66973164" w:rsidR="0012102F" w:rsidRPr="00486BA8" w:rsidRDefault="0012102F" w:rsidP="00E60B13">
      <w:pPr>
        <w:pStyle w:val="Paragraphedeliste"/>
        <w:numPr>
          <w:ilvl w:val="0"/>
          <w:numId w:val="3"/>
        </w:numPr>
        <w:jc w:val="both"/>
      </w:pPr>
      <w:r w:rsidRPr="2166248B">
        <w:rPr>
          <w:color w:val="000000" w:themeColor="text1"/>
          <w:lang w:val="fr"/>
        </w:rPr>
        <w:t xml:space="preserve">Informer et </w:t>
      </w:r>
      <w:r w:rsidRPr="00486BA8">
        <w:rPr>
          <w:color w:val="000000" w:themeColor="text1"/>
          <w:lang w:val="fr"/>
        </w:rPr>
        <w:t xml:space="preserve">fournir des conseils d’experts à tous les membres du personnel concernant leur obligation de se conformer aux dispositions </w:t>
      </w:r>
      <w:r w:rsidR="00F4565A" w:rsidRPr="00486BA8">
        <w:rPr>
          <w:color w:val="000000" w:themeColor="text1"/>
          <w:lang w:val="fr"/>
        </w:rPr>
        <w:t>de la Loi sur le secteur privé et à la Loi 25 [</w:t>
      </w:r>
      <w:r w:rsidR="00F4565A" w:rsidRPr="00486BA8">
        <w:rPr>
          <w:b/>
          <w:bCs/>
          <w:color w:val="000000" w:themeColor="text1"/>
          <w:lang w:val="fr"/>
        </w:rPr>
        <w:t>le cas échéant</w:t>
      </w:r>
      <w:r w:rsidR="00F4565A" w:rsidRPr="00486BA8">
        <w:rPr>
          <w:color w:val="000000" w:themeColor="text1"/>
          <w:lang w:val="fr"/>
        </w:rPr>
        <w:t xml:space="preserve"> : et </w:t>
      </w:r>
      <w:r w:rsidRPr="00486BA8">
        <w:rPr>
          <w:color w:val="000000" w:themeColor="text1"/>
          <w:lang w:val="fr"/>
        </w:rPr>
        <w:t>du RGPD</w:t>
      </w:r>
      <w:r w:rsidR="00F4565A" w:rsidRPr="00486BA8">
        <w:rPr>
          <w:color w:val="000000" w:themeColor="text1"/>
          <w:lang w:val="fr"/>
        </w:rPr>
        <w:t>]</w:t>
      </w:r>
      <w:r w:rsidRPr="00486BA8">
        <w:rPr>
          <w:color w:val="000000" w:themeColor="text1"/>
          <w:lang w:val="fr"/>
        </w:rPr>
        <w:t xml:space="preserve"> </w:t>
      </w:r>
      <w:r w:rsidRPr="00486BA8">
        <w:rPr>
          <w:lang w:val="fr"/>
        </w:rPr>
        <w:t>et des lois et réglementations locales pertinentes lors du traitement de</w:t>
      </w:r>
      <w:r w:rsidR="00F4565A" w:rsidRPr="00486BA8">
        <w:rPr>
          <w:lang w:val="fr"/>
        </w:rPr>
        <w:t xml:space="preserve"> renseignements</w:t>
      </w:r>
      <w:r w:rsidRPr="00486BA8">
        <w:rPr>
          <w:lang w:val="fr"/>
        </w:rPr>
        <w:t xml:space="preserve"> personnels</w:t>
      </w:r>
      <w:r w:rsidRPr="00486BA8">
        <w:rPr>
          <w:color w:val="000000" w:themeColor="text1"/>
          <w:lang w:val="fr"/>
        </w:rPr>
        <w:t>.</w:t>
      </w:r>
    </w:p>
    <w:p w14:paraId="45EE6D32" w14:textId="14081F33" w:rsidR="0012102F" w:rsidRPr="00CD3682" w:rsidRDefault="0012102F" w:rsidP="00E60B13">
      <w:pPr>
        <w:pStyle w:val="Paragraphedeliste"/>
        <w:numPr>
          <w:ilvl w:val="0"/>
          <w:numId w:val="3"/>
        </w:numPr>
        <w:jc w:val="both"/>
      </w:pPr>
      <w:r w:rsidRPr="00486BA8">
        <w:rPr>
          <w:lang w:val="fr"/>
        </w:rPr>
        <w:t xml:space="preserve">Surveiller la conformité </w:t>
      </w:r>
      <w:r w:rsidR="009C4BC6" w:rsidRPr="00486BA8">
        <w:rPr>
          <w:lang w:val="fr"/>
        </w:rPr>
        <w:t>à la Loi sur le secteur privé et la Loi 25 [</w:t>
      </w:r>
      <w:r w:rsidR="009C4BC6" w:rsidRPr="00486BA8">
        <w:rPr>
          <w:b/>
          <w:bCs/>
          <w:lang w:val="fr"/>
        </w:rPr>
        <w:t>le cas échéant</w:t>
      </w:r>
      <w:r w:rsidR="009C4BC6" w:rsidRPr="00486BA8">
        <w:rPr>
          <w:lang w:val="fr"/>
        </w:rPr>
        <w:t> : et</w:t>
      </w:r>
      <w:r w:rsidR="009C4BC6" w:rsidRPr="2166248B">
        <w:rPr>
          <w:lang w:val="fr"/>
        </w:rPr>
        <w:t xml:space="preserve"> </w:t>
      </w:r>
      <w:r w:rsidRPr="2166248B">
        <w:rPr>
          <w:lang w:val="fr"/>
        </w:rPr>
        <w:t>au RGPD</w:t>
      </w:r>
      <w:r w:rsidR="009C4BC6" w:rsidRPr="2166248B">
        <w:rPr>
          <w:lang w:val="fr"/>
        </w:rPr>
        <w:t>]</w:t>
      </w:r>
      <w:r w:rsidRPr="2166248B">
        <w:rPr>
          <w:lang w:val="fr"/>
        </w:rPr>
        <w:t xml:space="preserve"> et aux lois et réglementations locales pertinentes, et informer les parties prenantes au sein de </w:t>
      </w:r>
      <w:r w:rsidR="00486BA8">
        <w:rPr>
          <w:lang w:val="fr"/>
        </w:rPr>
        <w:t>l’o</w:t>
      </w:r>
      <w:r w:rsidR="00B66F6F" w:rsidRPr="2166248B">
        <w:rPr>
          <w:lang w:val="fr"/>
        </w:rPr>
        <w:t>rganisation</w:t>
      </w:r>
      <w:r w:rsidRPr="2166248B">
        <w:rPr>
          <w:lang w:val="fr"/>
        </w:rPr>
        <w:t xml:space="preserve"> de tout changement en temps opportun.</w:t>
      </w:r>
    </w:p>
    <w:p w14:paraId="66DFF44C" w14:textId="0231C596" w:rsidR="0012102F" w:rsidRPr="00CD3682" w:rsidRDefault="0012102F" w:rsidP="00E60B13">
      <w:pPr>
        <w:pStyle w:val="Paragraphedeliste"/>
        <w:numPr>
          <w:ilvl w:val="0"/>
          <w:numId w:val="3"/>
        </w:numPr>
        <w:jc w:val="both"/>
      </w:pPr>
      <w:r w:rsidRPr="2166248B">
        <w:rPr>
          <w:color w:val="000000" w:themeColor="text1"/>
          <w:lang w:val="fr"/>
        </w:rPr>
        <w:lastRenderedPageBreak/>
        <w:t xml:space="preserve">Agir en tant que point de contact unique pour l’autorité de contrôle sur les questions relatives au traitement des </w:t>
      </w:r>
      <w:r w:rsidR="009C4BC6" w:rsidRPr="2166248B">
        <w:rPr>
          <w:color w:val="000000" w:themeColor="text1"/>
          <w:lang w:val="fr"/>
        </w:rPr>
        <w:t>renseignements personnels</w:t>
      </w:r>
      <w:r w:rsidRPr="2166248B">
        <w:rPr>
          <w:color w:val="000000" w:themeColor="text1"/>
          <w:lang w:val="fr"/>
        </w:rPr>
        <w:t xml:space="preserve"> et consulter l’autorité de contrôle, le cas échéant, sur toute autre question pertinente en matière de </w:t>
      </w:r>
      <w:r w:rsidR="002D53B0" w:rsidRPr="2166248B">
        <w:rPr>
          <w:color w:val="000000" w:themeColor="text1"/>
          <w:lang w:val="fr"/>
        </w:rPr>
        <w:t>renseignements personnels</w:t>
      </w:r>
      <w:r w:rsidRPr="2166248B">
        <w:rPr>
          <w:color w:val="000000" w:themeColor="text1"/>
          <w:lang w:val="fr"/>
        </w:rPr>
        <w:t>.</w:t>
      </w:r>
    </w:p>
    <w:p w14:paraId="38ABFF58" w14:textId="7891AF7B" w:rsidR="0012102F" w:rsidRPr="00CD3682" w:rsidRDefault="0012102F" w:rsidP="00E60B13">
      <w:pPr>
        <w:pStyle w:val="Paragraphedeliste"/>
        <w:numPr>
          <w:ilvl w:val="0"/>
          <w:numId w:val="3"/>
        </w:numPr>
        <w:jc w:val="both"/>
      </w:pPr>
      <w:r w:rsidRPr="2166248B">
        <w:rPr>
          <w:lang w:val="fr"/>
        </w:rPr>
        <w:t xml:space="preserve">Agir en tant que principal point de contact pour les employés et toutes les personnes concernées, et coopérera avec tous les membres du personnel sur les questions de protection des </w:t>
      </w:r>
      <w:r w:rsidR="002D53B0" w:rsidRPr="2166248B">
        <w:rPr>
          <w:lang w:val="fr"/>
        </w:rPr>
        <w:t>renseignements personnels</w:t>
      </w:r>
      <w:r w:rsidRPr="2166248B">
        <w:rPr>
          <w:lang w:val="fr"/>
        </w:rPr>
        <w:t>.</w:t>
      </w:r>
    </w:p>
    <w:p w14:paraId="396FB6D9" w14:textId="78CF1EB6" w:rsidR="0012102F" w:rsidRPr="008B5772" w:rsidRDefault="0012102F" w:rsidP="00E60B13">
      <w:pPr>
        <w:pStyle w:val="Paragraphedeliste"/>
        <w:numPr>
          <w:ilvl w:val="0"/>
          <w:numId w:val="3"/>
        </w:numPr>
        <w:jc w:val="both"/>
      </w:pPr>
      <w:r w:rsidRPr="2166248B">
        <w:rPr>
          <w:color w:val="000000" w:themeColor="text1"/>
          <w:lang w:val="fr"/>
        </w:rPr>
        <w:t xml:space="preserve">S’assurer que la formation et la sensibilisation sont disponibles et dispensées à tous les membres du personnel impliqués dans le traitement des </w:t>
      </w:r>
      <w:r w:rsidR="002D53B0" w:rsidRPr="2166248B">
        <w:rPr>
          <w:color w:val="000000" w:themeColor="text1"/>
          <w:lang w:val="fr"/>
        </w:rPr>
        <w:t>renseignements personnels</w:t>
      </w:r>
      <w:r w:rsidRPr="2166248B">
        <w:rPr>
          <w:color w:val="000000" w:themeColor="text1"/>
          <w:lang w:val="fr"/>
        </w:rPr>
        <w:t>.</w:t>
      </w:r>
    </w:p>
    <w:p w14:paraId="0DC6818B" w14:textId="137B3680" w:rsidR="0012102F" w:rsidRPr="008B5772" w:rsidRDefault="0012102F" w:rsidP="00E60B13">
      <w:pPr>
        <w:pStyle w:val="Paragraphedeliste"/>
        <w:numPr>
          <w:ilvl w:val="0"/>
          <w:numId w:val="3"/>
        </w:numPr>
        <w:jc w:val="both"/>
      </w:pPr>
      <w:r w:rsidRPr="2166248B">
        <w:rPr>
          <w:color w:val="000000" w:themeColor="text1"/>
          <w:lang w:val="fr"/>
        </w:rPr>
        <w:t>Fourni</w:t>
      </w:r>
      <w:r w:rsidR="002D53B0" w:rsidRPr="2166248B">
        <w:rPr>
          <w:color w:val="000000" w:themeColor="text1"/>
          <w:lang w:val="fr"/>
        </w:rPr>
        <w:t>r</w:t>
      </w:r>
      <w:r w:rsidRPr="2166248B">
        <w:rPr>
          <w:color w:val="000000" w:themeColor="text1"/>
          <w:lang w:val="fr"/>
        </w:rPr>
        <w:t xml:space="preserve"> des conseils d’experts et des orientations sur l’analyse </w:t>
      </w:r>
      <w:r w:rsidR="002D53B0" w:rsidRPr="2166248B">
        <w:rPr>
          <w:color w:val="000000" w:themeColor="text1"/>
          <w:lang w:val="fr"/>
        </w:rPr>
        <w:t>des facteurs relatifs à la vie privée</w:t>
      </w:r>
      <w:r w:rsidRPr="2166248B">
        <w:rPr>
          <w:color w:val="000000" w:themeColor="text1"/>
          <w:lang w:val="fr"/>
        </w:rPr>
        <w:t xml:space="preserve"> (</w:t>
      </w:r>
      <w:r w:rsidR="002D53B0" w:rsidRPr="2166248B">
        <w:rPr>
          <w:color w:val="000000" w:themeColor="text1"/>
          <w:lang w:val="fr"/>
        </w:rPr>
        <w:t>« </w:t>
      </w:r>
      <w:r w:rsidR="002D53B0" w:rsidRPr="2166248B">
        <w:rPr>
          <w:b/>
          <w:bCs/>
          <w:color w:val="000000" w:themeColor="text1"/>
          <w:lang w:val="fr"/>
        </w:rPr>
        <w:t>ÉFVP</w:t>
      </w:r>
      <w:r w:rsidR="002D53B0" w:rsidRPr="2166248B">
        <w:rPr>
          <w:color w:val="000000" w:themeColor="text1"/>
          <w:lang w:val="fr"/>
        </w:rPr>
        <w:t> »</w:t>
      </w:r>
      <w:r w:rsidRPr="2166248B">
        <w:rPr>
          <w:color w:val="000000" w:themeColor="text1"/>
          <w:lang w:val="fr"/>
        </w:rPr>
        <w:t xml:space="preserve">), y compris l’exécution ou le suivi des performances des </w:t>
      </w:r>
      <w:r w:rsidR="002D53B0" w:rsidRPr="2166248B">
        <w:rPr>
          <w:color w:val="000000" w:themeColor="text1"/>
          <w:lang w:val="fr"/>
        </w:rPr>
        <w:t>ÉFVP</w:t>
      </w:r>
      <w:r w:rsidRPr="2166248B">
        <w:rPr>
          <w:color w:val="000000" w:themeColor="text1"/>
          <w:lang w:val="fr"/>
        </w:rPr>
        <w:t xml:space="preserve"> par rapport aux exigences </w:t>
      </w:r>
      <w:r w:rsidR="008626D7" w:rsidRPr="2166248B">
        <w:rPr>
          <w:color w:val="000000" w:themeColor="text1"/>
          <w:lang w:val="fr"/>
        </w:rPr>
        <w:t xml:space="preserve">des articles 3.3, 3.4, 17 et 21 de la Loi sur le secteur privé et de la </w:t>
      </w:r>
      <w:r w:rsidR="008626D7" w:rsidRPr="00486BA8">
        <w:rPr>
          <w:color w:val="000000" w:themeColor="text1"/>
          <w:lang w:val="fr"/>
        </w:rPr>
        <w:t>Loi 25</w:t>
      </w:r>
      <w:r w:rsidR="00A34D31" w:rsidRPr="00486BA8">
        <w:rPr>
          <w:color w:val="000000" w:themeColor="text1"/>
          <w:lang w:val="fr"/>
        </w:rPr>
        <w:t xml:space="preserve"> [</w:t>
      </w:r>
      <w:r w:rsidR="00A34D31" w:rsidRPr="00486BA8">
        <w:rPr>
          <w:b/>
          <w:bCs/>
          <w:color w:val="000000" w:themeColor="text1"/>
          <w:lang w:val="fr"/>
        </w:rPr>
        <w:t>le cas échéant</w:t>
      </w:r>
      <w:r w:rsidR="00A34D31" w:rsidRPr="00486BA8">
        <w:rPr>
          <w:color w:val="000000" w:themeColor="text1"/>
          <w:lang w:val="fr"/>
        </w:rPr>
        <w:t> : et</w:t>
      </w:r>
      <w:r w:rsidR="00A34D31" w:rsidRPr="2166248B">
        <w:rPr>
          <w:color w:val="000000" w:themeColor="text1"/>
          <w:lang w:val="fr"/>
        </w:rPr>
        <w:t xml:space="preserve"> </w:t>
      </w:r>
      <w:r w:rsidRPr="2166248B">
        <w:rPr>
          <w:color w:val="000000" w:themeColor="text1"/>
          <w:lang w:val="fr"/>
        </w:rPr>
        <w:t>de l’article 35 du RGPD</w:t>
      </w:r>
      <w:r w:rsidR="00A34D31" w:rsidRPr="2166248B">
        <w:rPr>
          <w:color w:val="000000" w:themeColor="text1"/>
          <w:lang w:val="fr"/>
        </w:rPr>
        <w:t>]</w:t>
      </w:r>
      <w:r w:rsidRPr="2166248B">
        <w:rPr>
          <w:color w:val="000000" w:themeColor="text1"/>
          <w:lang w:val="fr"/>
        </w:rPr>
        <w:t>.</w:t>
      </w:r>
    </w:p>
    <w:p w14:paraId="13647BC1" w14:textId="2DA377CC" w:rsidR="0012102F" w:rsidRPr="008B5772" w:rsidRDefault="0012102F" w:rsidP="00E60B13">
      <w:pPr>
        <w:pStyle w:val="Paragraphedeliste"/>
        <w:numPr>
          <w:ilvl w:val="0"/>
          <w:numId w:val="3"/>
        </w:numPr>
        <w:jc w:val="both"/>
      </w:pPr>
      <w:r w:rsidRPr="2166248B">
        <w:rPr>
          <w:color w:val="000000" w:themeColor="text1"/>
          <w:lang w:val="fr"/>
        </w:rPr>
        <w:t>Développe</w:t>
      </w:r>
      <w:r w:rsidR="00A34D31" w:rsidRPr="2166248B">
        <w:rPr>
          <w:color w:val="000000" w:themeColor="text1"/>
          <w:lang w:val="fr"/>
        </w:rPr>
        <w:t>r</w:t>
      </w:r>
      <w:r w:rsidRPr="2166248B">
        <w:rPr>
          <w:color w:val="000000" w:themeColor="text1"/>
          <w:lang w:val="fr"/>
        </w:rPr>
        <w:t xml:space="preserve"> le processus et les procédures de signalement des violations de </w:t>
      </w:r>
      <w:r w:rsidR="00A34D31" w:rsidRPr="2166248B">
        <w:rPr>
          <w:color w:val="000000" w:themeColor="text1"/>
          <w:lang w:val="fr"/>
        </w:rPr>
        <w:t>renseignements personnels</w:t>
      </w:r>
      <w:r w:rsidRPr="2166248B">
        <w:rPr>
          <w:color w:val="000000" w:themeColor="text1"/>
          <w:lang w:val="fr"/>
        </w:rPr>
        <w:t xml:space="preserve"> et prend</w:t>
      </w:r>
      <w:r w:rsidR="00A34D31" w:rsidRPr="2166248B">
        <w:rPr>
          <w:color w:val="000000" w:themeColor="text1"/>
          <w:lang w:val="fr"/>
        </w:rPr>
        <w:t>re</w:t>
      </w:r>
      <w:r w:rsidRPr="2166248B">
        <w:rPr>
          <w:color w:val="000000" w:themeColor="text1"/>
          <w:lang w:val="fr"/>
        </w:rPr>
        <w:t xml:space="preserve"> </w:t>
      </w:r>
      <w:r w:rsidRPr="00486BA8">
        <w:rPr>
          <w:color w:val="000000" w:themeColor="text1"/>
          <w:lang w:val="fr"/>
        </w:rPr>
        <w:t>les mesures nécessaires pour informer les parties prenantes concernées, conformément aux articles</w:t>
      </w:r>
      <w:r w:rsidR="00A34D31" w:rsidRPr="00486BA8">
        <w:rPr>
          <w:color w:val="000000" w:themeColor="text1"/>
          <w:lang w:val="fr"/>
        </w:rPr>
        <w:t xml:space="preserve"> </w:t>
      </w:r>
      <w:r w:rsidR="00C750C0" w:rsidRPr="00486BA8">
        <w:rPr>
          <w:color w:val="000000" w:themeColor="text1"/>
          <w:lang w:val="fr"/>
        </w:rPr>
        <w:t>3.5</w:t>
      </w:r>
      <w:r w:rsidR="006B7158" w:rsidRPr="00486BA8">
        <w:rPr>
          <w:color w:val="000000" w:themeColor="text1"/>
          <w:lang w:val="fr"/>
        </w:rPr>
        <w:t xml:space="preserve"> et</w:t>
      </w:r>
      <w:r w:rsidR="00C750C0" w:rsidRPr="00486BA8">
        <w:rPr>
          <w:color w:val="000000" w:themeColor="text1"/>
          <w:lang w:val="fr"/>
        </w:rPr>
        <w:t xml:space="preserve"> </w:t>
      </w:r>
      <w:r w:rsidR="00E624DC" w:rsidRPr="00486BA8">
        <w:rPr>
          <w:color w:val="000000" w:themeColor="text1"/>
          <w:lang w:val="fr"/>
        </w:rPr>
        <w:t>3.8</w:t>
      </w:r>
      <w:r w:rsidR="006B7158" w:rsidRPr="00486BA8">
        <w:rPr>
          <w:color w:val="000000" w:themeColor="text1"/>
          <w:lang w:val="fr"/>
        </w:rPr>
        <w:t xml:space="preserve"> </w:t>
      </w:r>
      <w:r w:rsidR="00345028" w:rsidRPr="00486BA8">
        <w:rPr>
          <w:color w:val="000000" w:themeColor="text1"/>
          <w:lang w:val="fr"/>
        </w:rPr>
        <w:t xml:space="preserve">de la Loi sur le secteur privé et de la Loi 25 </w:t>
      </w:r>
      <w:r w:rsidR="00A34D31" w:rsidRPr="00486BA8">
        <w:rPr>
          <w:color w:val="000000" w:themeColor="text1"/>
          <w:lang w:val="fr"/>
        </w:rPr>
        <w:t>[</w:t>
      </w:r>
      <w:r w:rsidR="00A34D31" w:rsidRPr="00486BA8">
        <w:rPr>
          <w:b/>
          <w:bCs/>
          <w:color w:val="000000" w:themeColor="text1"/>
          <w:lang w:val="fr"/>
        </w:rPr>
        <w:t>le cas échéant</w:t>
      </w:r>
      <w:r w:rsidR="00A34D31" w:rsidRPr="00486BA8">
        <w:rPr>
          <w:color w:val="000000" w:themeColor="text1"/>
          <w:lang w:val="fr"/>
        </w:rPr>
        <w:t> :</w:t>
      </w:r>
      <w:r w:rsidR="00345028" w:rsidRPr="00486BA8">
        <w:rPr>
          <w:color w:val="000000" w:themeColor="text1"/>
          <w:lang w:val="fr"/>
        </w:rPr>
        <w:t xml:space="preserve"> et aux article</w:t>
      </w:r>
      <w:r w:rsidRPr="00486BA8">
        <w:rPr>
          <w:color w:val="000000" w:themeColor="text1"/>
          <w:lang w:val="fr"/>
        </w:rPr>
        <w:t xml:space="preserve"> 33 et 55 du RGPD</w:t>
      </w:r>
      <w:r w:rsidR="00345028" w:rsidRPr="00486BA8">
        <w:rPr>
          <w:color w:val="000000" w:themeColor="text1"/>
          <w:lang w:val="fr"/>
        </w:rPr>
        <w:t>]</w:t>
      </w:r>
      <w:r w:rsidRPr="00486BA8">
        <w:rPr>
          <w:color w:val="000000" w:themeColor="text1"/>
          <w:lang w:val="fr"/>
        </w:rPr>
        <w:t>.</w:t>
      </w:r>
    </w:p>
    <w:p w14:paraId="10EC4ED1" w14:textId="642E6346" w:rsidR="0012102F" w:rsidRPr="008B5772" w:rsidRDefault="0012102F" w:rsidP="00E60B13">
      <w:pPr>
        <w:pStyle w:val="Paragraphedeliste"/>
        <w:numPr>
          <w:ilvl w:val="0"/>
          <w:numId w:val="3"/>
        </w:numPr>
        <w:jc w:val="both"/>
      </w:pPr>
      <w:r w:rsidRPr="2166248B">
        <w:rPr>
          <w:color w:val="000000" w:themeColor="text1"/>
          <w:lang w:val="fr"/>
        </w:rPr>
        <w:t>Surveille</w:t>
      </w:r>
      <w:r w:rsidR="00345028" w:rsidRPr="2166248B">
        <w:rPr>
          <w:color w:val="000000" w:themeColor="text1"/>
          <w:lang w:val="fr"/>
        </w:rPr>
        <w:t>r</w:t>
      </w:r>
      <w:r w:rsidRPr="2166248B">
        <w:rPr>
          <w:color w:val="000000" w:themeColor="text1"/>
          <w:lang w:val="fr"/>
        </w:rPr>
        <w:t xml:space="preserve"> le respect de la Politique de protection des </w:t>
      </w:r>
      <w:r w:rsidR="00345028" w:rsidRPr="2166248B">
        <w:rPr>
          <w:color w:val="000000" w:themeColor="text1"/>
          <w:lang w:val="fr"/>
        </w:rPr>
        <w:t xml:space="preserve">renseignements personnels </w:t>
      </w:r>
      <w:r w:rsidRPr="2166248B">
        <w:rPr>
          <w:color w:val="000000" w:themeColor="text1"/>
          <w:lang w:val="fr"/>
        </w:rPr>
        <w:t xml:space="preserve">et de tout autre document interne relatif à la protection des </w:t>
      </w:r>
      <w:r w:rsidR="00345028" w:rsidRPr="2166248B">
        <w:rPr>
          <w:color w:val="000000" w:themeColor="text1"/>
          <w:lang w:val="fr"/>
        </w:rPr>
        <w:t>renseignements personnels</w:t>
      </w:r>
      <w:r w:rsidRPr="2166248B">
        <w:rPr>
          <w:color w:val="000000" w:themeColor="text1"/>
          <w:lang w:val="fr"/>
        </w:rPr>
        <w:t>.</w:t>
      </w:r>
    </w:p>
    <w:p w14:paraId="54986823" w14:textId="297033F6" w:rsidR="0012102F" w:rsidRPr="00CD3682" w:rsidRDefault="0012102F" w:rsidP="00E60B13">
      <w:pPr>
        <w:pStyle w:val="Paragraphedeliste"/>
        <w:numPr>
          <w:ilvl w:val="0"/>
          <w:numId w:val="3"/>
        </w:numPr>
        <w:jc w:val="both"/>
      </w:pPr>
      <w:r w:rsidRPr="2166248B">
        <w:rPr>
          <w:color w:val="000000" w:themeColor="text1"/>
          <w:lang w:val="fr"/>
        </w:rPr>
        <w:t>Crée</w:t>
      </w:r>
      <w:r w:rsidR="00345028" w:rsidRPr="2166248B">
        <w:rPr>
          <w:color w:val="000000" w:themeColor="text1"/>
          <w:lang w:val="fr"/>
        </w:rPr>
        <w:t>r</w:t>
      </w:r>
      <w:r w:rsidRPr="2166248B">
        <w:rPr>
          <w:color w:val="000000" w:themeColor="text1"/>
          <w:lang w:val="fr"/>
        </w:rPr>
        <w:t xml:space="preserve"> des inventaires </w:t>
      </w:r>
      <w:r w:rsidR="00345028" w:rsidRPr="2166248B">
        <w:rPr>
          <w:color w:val="000000" w:themeColor="text1"/>
          <w:lang w:val="fr"/>
        </w:rPr>
        <w:t>et maintenir à jour</w:t>
      </w:r>
      <w:r w:rsidRPr="2166248B">
        <w:rPr>
          <w:color w:val="000000" w:themeColor="text1"/>
          <w:lang w:val="fr"/>
        </w:rPr>
        <w:t xml:space="preserve"> des registres des </w:t>
      </w:r>
      <w:r w:rsidR="00345028" w:rsidRPr="2166248B">
        <w:rPr>
          <w:color w:val="000000" w:themeColor="text1"/>
          <w:lang w:val="fr"/>
        </w:rPr>
        <w:t xml:space="preserve">activités </w:t>
      </w:r>
      <w:r w:rsidRPr="2166248B">
        <w:rPr>
          <w:color w:val="000000" w:themeColor="text1"/>
          <w:lang w:val="fr"/>
        </w:rPr>
        <w:t>de traitement sur la base des informations qui l</w:t>
      </w:r>
      <w:r w:rsidR="00345028" w:rsidRPr="2166248B">
        <w:rPr>
          <w:color w:val="000000" w:themeColor="text1"/>
          <w:lang w:val="fr"/>
        </w:rPr>
        <w:t>ui</w:t>
      </w:r>
      <w:r w:rsidRPr="2166248B">
        <w:rPr>
          <w:color w:val="000000" w:themeColor="text1"/>
          <w:lang w:val="fr"/>
        </w:rPr>
        <w:t xml:space="preserve"> sont fournies par les services de </w:t>
      </w:r>
      <w:r w:rsidR="00B66F6F" w:rsidRPr="2166248B">
        <w:rPr>
          <w:color w:val="000000" w:themeColor="text1"/>
          <w:lang w:val="fr"/>
        </w:rPr>
        <w:t>l’Organisation</w:t>
      </w:r>
      <w:r w:rsidRPr="2166248B">
        <w:rPr>
          <w:color w:val="000000" w:themeColor="text1"/>
          <w:lang w:val="fr"/>
        </w:rPr>
        <w:t xml:space="preserve"> qui sont responsables du traitement des </w:t>
      </w:r>
      <w:r w:rsidR="00345028" w:rsidRPr="2166248B">
        <w:rPr>
          <w:color w:val="000000" w:themeColor="text1"/>
          <w:lang w:val="fr"/>
        </w:rPr>
        <w:t>renseignements personnels</w:t>
      </w:r>
      <w:r w:rsidRPr="2166248B">
        <w:rPr>
          <w:color w:val="000000" w:themeColor="text1"/>
          <w:lang w:val="fr"/>
        </w:rPr>
        <w:t>.</w:t>
      </w:r>
    </w:p>
    <w:p w14:paraId="75DFFA1A" w14:textId="5FEFE92E" w:rsidR="0012102F" w:rsidRPr="00CD3682" w:rsidRDefault="0012102F" w:rsidP="2166248B">
      <w:pPr>
        <w:pStyle w:val="Paragraphedeliste"/>
        <w:numPr>
          <w:ilvl w:val="0"/>
          <w:numId w:val="3"/>
        </w:numPr>
        <w:jc w:val="both"/>
        <w:rPr>
          <w:lang w:val="fr"/>
        </w:rPr>
      </w:pPr>
      <w:r w:rsidRPr="2166248B">
        <w:rPr>
          <w:color w:val="000000" w:themeColor="text1"/>
          <w:lang w:val="fr"/>
        </w:rPr>
        <w:t>Conseille</w:t>
      </w:r>
      <w:r w:rsidR="00345028" w:rsidRPr="2166248B">
        <w:rPr>
          <w:color w:val="000000" w:themeColor="text1"/>
          <w:lang w:val="fr"/>
        </w:rPr>
        <w:t>r</w:t>
      </w:r>
      <w:r w:rsidRPr="2166248B">
        <w:rPr>
          <w:color w:val="000000" w:themeColor="text1"/>
          <w:lang w:val="fr"/>
        </w:rPr>
        <w:t xml:space="preserve"> </w:t>
      </w:r>
      <w:r w:rsidR="00486BA8">
        <w:rPr>
          <w:color w:val="000000" w:themeColor="text1"/>
          <w:lang w:val="fr"/>
        </w:rPr>
        <w:t>l’o</w:t>
      </w:r>
      <w:r w:rsidR="00B66F6F" w:rsidRPr="2166248B">
        <w:rPr>
          <w:color w:val="000000" w:themeColor="text1"/>
          <w:lang w:val="fr"/>
        </w:rPr>
        <w:t>rganisation</w:t>
      </w:r>
      <w:r w:rsidRPr="2166248B">
        <w:rPr>
          <w:color w:val="000000" w:themeColor="text1"/>
          <w:lang w:val="fr"/>
        </w:rPr>
        <w:t xml:space="preserve"> en ce qui concerne les avis de confidentialité aux personnes concernées au moment de la collecte de leurs </w:t>
      </w:r>
      <w:r w:rsidR="00345028" w:rsidRPr="2166248B">
        <w:rPr>
          <w:color w:val="000000" w:themeColor="text1"/>
          <w:lang w:val="fr"/>
        </w:rPr>
        <w:t>renseignements personnels</w:t>
      </w:r>
      <w:r w:rsidR="00915973" w:rsidRPr="2166248B">
        <w:rPr>
          <w:color w:val="000000" w:themeColor="text1"/>
          <w:lang w:val="fr"/>
        </w:rPr>
        <w:t xml:space="preserve"> et</w:t>
      </w:r>
      <w:r w:rsidR="00455217" w:rsidRPr="2166248B">
        <w:rPr>
          <w:color w:val="000000" w:themeColor="text1"/>
          <w:lang w:val="fr"/>
        </w:rPr>
        <w:t xml:space="preserve"> la mise en place</w:t>
      </w:r>
      <w:r w:rsidR="00EC0FE7" w:rsidRPr="2166248B">
        <w:rPr>
          <w:color w:val="000000" w:themeColor="text1"/>
          <w:lang w:val="fr"/>
        </w:rPr>
        <w:t xml:space="preserve"> du programme de gouvernance de l’information </w:t>
      </w:r>
      <w:r w:rsidRPr="2166248B">
        <w:rPr>
          <w:color w:val="000000" w:themeColor="text1"/>
          <w:lang w:val="fr"/>
        </w:rPr>
        <w:t xml:space="preserve">conformément aux articles </w:t>
      </w:r>
      <w:r w:rsidR="00EC0FE7" w:rsidRPr="2166248B">
        <w:rPr>
          <w:color w:val="000000" w:themeColor="text1"/>
          <w:lang w:val="fr"/>
        </w:rPr>
        <w:t xml:space="preserve">3.2, </w:t>
      </w:r>
      <w:r w:rsidR="00002B29" w:rsidRPr="2166248B">
        <w:rPr>
          <w:color w:val="000000" w:themeColor="text1"/>
          <w:lang w:val="fr"/>
        </w:rPr>
        <w:t xml:space="preserve">3.4, </w:t>
      </w:r>
      <w:r w:rsidR="006B7158" w:rsidRPr="2166248B">
        <w:rPr>
          <w:color w:val="000000" w:themeColor="text1"/>
          <w:lang w:val="fr"/>
        </w:rPr>
        <w:t xml:space="preserve">7, </w:t>
      </w:r>
      <w:r w:rsidR="007061BD" w:rsidRPr="2166248B">
        <w:rPr>
          <w:color w:val="000000" w:themeColor="text1"/>
          <w:lang w:val="fr"/>
        </w:rPr>
        <w:t xml:space="preserve">8, </w:t>
      </w:r>
      <w:r w:rsidR="00DD5414" w:rsidRPr="2166248B">
        <w:rPr>
          <w:color w:val="000000" w:themeColor="text1"/>
          <w:lang w:val="fr"/>
        </w:rPr>
        <w:t xml:space="preserve">8.1, </w:t>
      </w:r>
      <w:r w:rsidR="00631FEB" w:rsidRPr="2166248B">
        <w:rPr>
          <w:color w:val="000000" w:themeColor="text1"/>
          <w:lang w:val="fr"/>
        </w:rPr>
        <w:t>8.2,</w:t>
      </w:r>
      <w:r w:rsidR="00734793" w:rsidRPr="2166248B">
        <w:rPr>
          <w:color w:val="000000" w:themeColor="text1"/>
          <w:lang w:val="fr"/>
        </w:rPr>
        <w:t xml:space="preserve"> 9.1</w:t>
      </w:r>
      <w:r w:rsidR="00605966" w:rsidRPr="2166248B">
        <w:rPr>
          <w:color w:val="000000" w:themeColor="text1"/>
          <w:lang w:val="fr"/>
        </w:rPr>
        <w:t xml:space="preserve">, </w:t>
      </w:r>
      <w:r w:rsidR="00155FC7" w:rsidRPr="2166248B">
        <w:rPr>
          <w:color w:val="000000" w:themeColor="text1"/>
          <w:lang w:val="fr"/>
        </w:rPr>
        <w:t>12.1</w:t>
      </w:r>
      <w:r w:rsidR="00345028" w:rsidRPr="2166248B">
        <w:rPr>
          <w:color w:val="000000" w:themeColor="text1"/>
          <w:lang w:val="fr"/>
        </w:rPr>
        <w:t xml:space="preserve"> </w:t>
      </w:r>
      <w:r w:rsidR="007B3F07" w:rsidRPr="2166248B">
        <w:rPr>
          <w:color w:val="000000" w:themeColor="text1"/>
          <w:lang w:val="fr"/>
        </w:rPr>
        <w:t>et 29</w:t>
      </w:r>
      <w:r w:rsidR="00345028" w:rsidRPr="2166248B">
        <w:rPr>
          <w:color w:val="000000" w:themeColor="text1"/>
          <w:lang w:val="fr"/>
        </w:rPr>
        <w:t xml:space="preserve"> de la Loi sur le secteur privé et de la </w:t>
      </w:r>
      <w:r w:rsidR="00345028" w:rsidRPr="00486BA8">
        <w:rPr>
          <w:color w:val="000000" w:themeColor="text1"/>
          <w:lang w:val="fr"/>
        </w:rPr>
        <w:t>Loi 25</w:t>
      </w:r>
      <w:r w:rsidR="008B5772" w:rsidRPr="00486BA8">
        <w:rPr>
          <w:color w:val="000000" w:themeColor="text1"/>
          <w:lang w:val="fr"/>
        </w:rPr>
        <w:t xml:space="preserve"> [</w:t>
      </w:r>
      <w:r w:rsidR="008B5772" w:rsidRPr="00486BA8">
        <w:rPr>
          <w:b/>
          <w:bCs/>
          <w:color w:val="000000" w:themeColor="text1"/>
          <w:lang w:val="fr"/>
        </w:rPr>
        <w:t>le cas échéant</w:t>
      </w:r>
      <w:r w:rsidR="008B5772" w:rsidRPr="00486BA8">
        <w:rPr>
          <w:color w:val="000000" w:themeColor="text1"/>
          <w:lang w:val="fr"/>
        </w:rPr>
        <w:t> : et aux</w:t>
      </w:r>
      <w:r w:rsidR="008B5772" w:rsidRPr="2166248B">
        <w:rPr>
          <w:color w:val="000000" w:themeColor="text1"/>
          <w:lang w:val="fr"/>
        </w:rPr>
        <w:t xml:space="preserve"> article </w:t>
      </w:r>
      <w:r w:rsidRPr="2166248B">
        <w:rPr>
          <w:color w:val="000000" w:themeColor="text1"/>
          <w:lang w:val="fr"/>
        </w:rPr>
        <w:t>13 à 15</w:t>
      </w:r>
      <w:r w:rsidRPr="2166248B">
        <w:rPr>
          <w:lang w:val="fr"/>
        </w:rPr>
        <w:t xml:space="preserve"> </w:t>
      </w:r>
      <w:r w:rsidRPr="2166248B">
        <w:rPr>
          <w:color w:val="000000" w:themeColor="text1"/>
          <w:lang w:val="fr"/>
        </w:rPr>
        <w:t>du RGPD</w:t>
      </w:r>
      <w:r w:rsidR="008B5772" w:rsidRPr="2166248B">
        <w:rPr>
          <w:color w:val="000000" w:themeColor="text1"/>
          <w:lang w:val="fr"/>
        </w:rPr>
        <w:t>]</w:t>
      </w:r>
      <w:r w:rsidRPr="2166248B">
        <w:rPr>
          <w:lang w:val="fr"/>
        </w:rPr>
        <w:t>.</w:t>
      </w:r>
    </w:p>
    <w:p w14:paraId="2C8AAD29" w14:textId="795CED60" w:rsidR="0012102F" w:rsidRPr="00CD3682" w:rsidRDefault="2166248B" w:rsidP="00E60B13">
      <w:pPr>
        <w:jc w:val="both"/>
      </w:pPr>
      <w:r w:rsidRPr="22B9155F">
        <w:rPr>
          <w:lang w:val="fr"/>
        </w:rPr>
        <w:t xml:space="preserve">Gérer et superviser les relations avec les fournisseurs de services et autres tierces parties qui participent, directement ou indirectement, à la mise en œuvre du programme de gouvernance de l’information. </w:t>
      </w:r>
      <w:r w:rsidR="0012102F" w:rsidRPr="00CD3682">
        <w:rPr>
          <w:lang w:val="fr"/>
        </w:rPr>
        <w:t>Les responsabilités suivantes peuvent être envisagées si elles ne sont pas en conflit avec les activités clés énumérées ci-dessus :</w:t>
      </w:r>
    </w:p>
    <w:p w14:paraId="5F21BF28" w14:textId="062D3B58" w:rsidR="0012102F" w:rsidRPr="00CD3682" w:rsidRDefault="0012102F" w:rsidP="00E60B13">
      <w:pPr>
        <w:pStyle w:val="Paragraphedeliste"/>
        <w:numPr>
          <w:ilvl w:val="0"/>
          <w:numId w:val="5"/>
        </w:numPr>
        <w:jc w:val="both"/>
      </w:pPr>
      <w:r w:rsidRPr="2166248B">
        <w:rPr>
          <w:color w:val="000000" w:themeColor="text1"/>
          <w:lang w:val="fr"/>
        </w:rPr>
        <w:t xml:space="preserve">Examiner/développer des procédures de sécurité et d’autres mesures de contrôle et de gestion des risques afin d’assurer la protection des </w:t>
      </w:r>
      <w:r w:rsidR="008B5772" w:rsidRPr="2166248B">
        <w:rPr>
          <w:color w:val="000000" w:themeColor="text1"/>
          <w:lang w:val="fr"/>
        </w:rPr>
        <w:t>renseignements personnels</w:t>
      </w:r>
      <w:r w:rsidRPr="2166248B">
        <w:rPr>
          <w:color w:val="000000" w:themeColor="text1"/>
          <w:lang w:val="fr"/>
        </w:rPr>
        <w:t>.</w:t>
      </w:r>
    </w:p>
    <w:p w14:paraId="2CAF4364" w14:textId="0DCC77D8" w:rsidR="0012102F" w:rsidRPr="00CD3682" w:rsidRDefault="0012102F" w:rsidP="00E60B13">
      <w:pPr>
        <w:pStyle w:val="Paragraphedeliste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color w:val="000000"/>
        </w:rPr>
      </w:pPr>
      <w:r w:rsidRPr="00CD3682">
        <w:rPr>
          <w:color w:val="000000"/>
          <w:lang w:val="fr"/>
        </w:rPr>
        <w:t xml:space="preserve">Établir des contrôles adéquats pour assurer et maintenir la confidentialité, l’intégrité et la disponibilité des </w:t>
      </w:r>
      <w:r w:rsidR="008B5772">
        <w:rPr>
          <w:color w:val="000000"/>
          <w:lang w:val="fr"/>
        </w:rPr>
        <w:t>renseignements personnels</w:t>
      </w:r>
      <w:r w:rsidRPr="00CD3682">
        <w:rPr>
          <w:color w:val="000000"/>
          <w:lang w:val="fr"/>
        </w:rPr>
        <w:t>.</w:t>
      </w:r>
    </w:p>
    <w:p w14:paraId="5AB90F58" w14:textId="10886D8B" w:rsidR="0012102F" w:rsidRPr="00CD3682" w:rsidRDefault="0012102F" w:rsidP="00E60B13">
      <w:pPr>
        <w:pStyle w:val="Paragraphedeliste"/>
        <w:numPr>
          <w:ilvl w:val="0"/>
          <w:numId w:val="5"/>
        </w:numPr>
        <w:jc w:val="both"/>
      </w:pPr>
      <w:r w:rsidRPr="22B9155F">
        <w:rPr>
          <w:color w:val="000000" w:themeColor="text1"/>
          <w:lang w:val="fr"/>
        </w:rPr>
        <w:t>Contribuer au processus de planification de la continuité et de la reprise des activités</w:t>
      </w:r>
      <w:r w:rsidR="002902E5">
        <w:rPr>
          <w:color w:val="000000" w:themeColor="text1"/>
          <w:lang w:val="fr"/>
        </w:rPr>
        <w:t xml:space="preserve"> </w:t>
      </w:r>
      <w:r w:rsidRPr="22B9155F">
        <w:rPr>
          <w:color w:val="000000" w:themeColor="text1"/>
          <w:lang w:val="fr"/>
        </w:rPr>
        <w:t>d’un incident de confidentialité</w:t>
      </w:r>
      <w:r w:rsidR="002902E5">
        <w:rPr>
          <w:color w:val="000000" w:themeColor="text1"/>
          <w:lang w:val="fr"/>
        </w:rPr>
        <w:t xml:space="preserve"> </w:t>
      </w:r>
      <w:r w:rsidRPr="22B9155F">
        <w:rPr>
          <w:color w:val="000000" w:themeColor="text1"/>
          <w:lang w:val="fr"/>
        </w:rPr>
        <w:t xml:space="preserve">pour s’assurer que le traitement des </w:t>
      </w:r>
      <w:r w:rsidR="008B5772" w:rsidRPr="22B9155F">
        <w:rPr>
          <w:color w:val="000000" w:themeColor="text1"/>
          <w:lang w:val="fr"/>
        </w:rPr>
        <w:t>renseignements personnels</w:t>
      </w:r>
      <w:r w:rsidRPr="22B9155F">
        <w:rPr>
          <w:color w:val="000000" w:themeColor="text1"/>
          <w:lang w:val="fr"/>
        </w:rPr>
        <w:t xml:space="preserve"> est pris en compte.</w:t>
      </w:r>
    </w:p>
    <w:p w14:paraId="088E8FC5" w14:textId="77777777" w:rsidR="0012102F" w:rsidRPr="00CD3682" w:rsidRDefault="0012102F" w:rsidP="00E60B13">
      <w:pPr>
        <w:jc w:val="both"/>
        <w:rPr>
          <w:rFonts w:asciiTheme="minorHAnsi" w:eastAsia="Times New Roman" w:hAnsiTheme="minorHAnsi" w:cstheme="minorHAnsi"/>
          <w:color w:val="000000"/>
        </w:rPr>
      </w:pPr>
    </w:p>
    <w:p w14:paraId="4BCA20B8" w14:textId="77777777" w:rsidR="00486BA8" w:rsidRDefault="00486BA8">
      <w:pPr>
        <w:spacing w:after="160" w:line="259" w:lineRule="auto"/>
        <w:rPr>
          <w:b/>
          <w:sz w:val="28"/>
          <w:szCs w:val="28"/>
        </w:rPr>
      </w:pPr>
      <w:bookmarkStart w:id="4" w:name="_Toc95486345"/>
      <w:r>
        <w:br w:type="page"/>
      </w:r>
    </w:p>
    <w:p w14:paraId="602E2226" w14:textId="3C134EFD" w:rsidR="0012102F" w:rsidRPr="00CD3682" w:rsidRDefault="0012102F" w:rsidP="00E60B13">
      <w:pPr>
        <w:pStyle w:val="Titre1"/>
        <w:numPr>
          <w:ilvl w:val="0"/>
          <w:numId w:val="2"/>
        </w:numPr>
        <w:jc w:val="both"/>
      </w:pPr>
      <w:r>
        <w:lastRenderedPageBreak/>
        <w:t>Autorité</w:t>
      </w:r>
      <w:bookmarkEnd w:id="4"/>
    </w:p>
    <w:p w14:paraId="64E104BD" w14:textId="3B0CCEF7" w:rsidR="0012102F" w:rsidRPr="00CD3682" w:rsidRDefault="00486BA8" w:rsidP="00E60B13">
      <w:pPr>
        <w:jc w:val="both"/>
      </w:pPr>
      <w:r>
        <w:rPr>
          <w:lang w:val="fr"/>
        </w:rPr>
        <w:t>La PRP</w:t>
      </w:r>
      <w:r w:rsidR="008B5772" w:rsidRPr="008B5772">
        <w:rPr>
          <w:lang w:val="fr"/>
        </w:rPr>
        <w:t xml:space="preserve"> </w:t>
      </w:r>
      <w:r w:rsidR="0012102F" w:rsidRPr="00CD3682">
        <w:rPr>
          <w:lang w:val="fr"/>
        </w:rPr>
        <w:t xml:space="preserve">est </w:t>
      </w:r>
      <w:r w:rsidRPr="00CD3682">
        <w:rPr>
          <w:lang w:val="fr"/>
        </w:rPr>
        <w:t>autorisée</w:t>
      </w:r>
      <w:r w:rsidR="0012102F" w:rsidRPr="00CD3682">
        <w:rPr>
          <w:lang w:val="fr"/>
        </w:rPr>
        <w:t xml:space="preserve"> à avoir accès à tous les actifs de </w:t>
      </w:r>
      <w:r>
        <w:rPr>
          <w:lang w:val="fr"/>
        </w:rPr>
        <w:t>l’o</w:t>
      </w:r>
      <w:r w:rsidR="00B66F6F" w:rsidRPr="00CD3682">
        <w:rPr>
          <w:lang w:val="fr"/>
        </w:rPr>
        <w:t>rganisation</w:t>
      </w:r>
      <w:r w:rsidR="0012102F" w:rsidRPr="00CD3682">
        <w:rPr>
          <w:lang w:val="fr"/>
        </w:rPr>
        <w:t xml:space="preserve"> relatifs au traitement et au stockage des </w:t>
      </w:r>
      <w:r w:rsidR="008B5772">
        <w:rPr>
          <w:lang w:val="fr"/>
        </w:rPr>
        <w:t>renseignements personnels</w:t>
      </w:r>
      <w:r w:rsidR="0012102F" w:rsidRPr="00CD3682">
        <w:rPr>
          <w:lang w:val="fr"/>
        </w:rPr>
        <w:t xml:space="preserve"> aux fins d’évaluer l’utilisation et la sécurité des </w:t>
      </w:r>
      <w:r w:rsidR="008B5772">
        <w:rPr>
          <w:lang w:val="fr"/>
        </w:rPr>
        <w:t>renseignements personnels</w:t>
      </w:r>
      <w:r w:rsidR="0012102F" w:rsidRPr="00CD3682">
        <w:rPr>
          <w:lang w:val="fr"/>
        </w:rPr>
        <w:t>.</w:t>
      </w:r>
    </w:p>
    <w:p w14:paraId="277FA6F2" w14:textId="3BA7788E" w:rsidR="0012102F" w:rsidRPr="00CD3682" w:rsidRDefault="0012102F" w:rsidP="2166248B">
      <w:pPr>
        <w:jc w:val="both"/>
      </w:pPr>
      <w:r w:rsidRPr="2166248B">
        <w:rPr>
          <w:lang w:val="fr"/>
        </w:rPr>
        <w:t xml:space="preserve">Le personnel </w:t>
      </w:r>
      <w:r w:rsidR="00486BA8">
        <w:rPr>
          <w:lang w:val="fr"/>
        </w:rPr>
        <w:t>du Centre d’Action Bénévole Domaine-du-Roy</w:t>
      </w:r>
      <w:r w:rsidRPr="2166248B">
        <w:rPr>
          <w:lang w:val="fr"/>
        </w:rPr>
        <w:t xml:space="preserve"> coopère pleinement avec </w:t>
      </w:r>
      <w:r w:rsidR="00486BA8">
        <w:rPr>
          <w:lang w:val="fr"/>
        </w:rPr>
        <w:t>la PRP</w:t>
      </w:r>
      <w:r w:rsidR="008B5772" w:rsidRPr="2166248B">
        <w:rPr>
          <w:lang w:val="fr"/>
        </w:rPr>
        <w:t xml:space="preserve"> </w:t>
      </w:r>
      <w:r w:rsidRPr="2166248B">
        <w:rPr>
          <w:lang w:val="fr"/>
        </w:rPr>
        <w:t>dans l’exécution des tâches susmentionnées.</w:t>
      </w:r>
    </w:p>
    <w:p w14:paraId="6734550C" w14:textId="77777777" w:rsidR="0012102F" w:rsidRPr="00CD3682" w:rsidRDefault="0012102F" w:rsidP="00E60B13">
      <w:pPr>
        <w:jc w:val="both"/>
        <w:rPr>
          <w:rFonts w:asciiTheme="minorHAnsi" w:eastAsia="Times New Roman" w:hAnsiTheme="minorHAnsi" w:cstheme="minorHAnsi"/>
          <w:color w:val="000000"/>
        </w:rPr>
      </w:pPr>
    </w:p>
    <w:p w14:paraId="5DAFA3F8" w14:textId="77777777" w:rsidR="0012102F" w:rsidRPr="00CD3682" w:rsidRDefault="0012102F" w:rsidP="00E60B13">
      <w:pPr>
        <w:pStyle w:val="Titre1"/>
        <w:numPr>
          <w:ilvl w:val="0"/>
          <w:numId w:val="2"/>
        </w:numPr>
        <w:jc w:val="both"/>
      </w:pPr>
      <w:bookmarkStart w:id="5" w:name="_Toc367862849"/>
      <w:bookmarkStart w:id="6" w:name="_Toc269500081"/>
      <w:bookmarkStart w:id="7" w:name="_Toc95486346"/>
      <w:bookmarkEnd w:id="5"/>
      <w:bookmarkEnd w:id="6"/>
      <w:r>
        <w:t>Validité et gestion des documents</w:t>
      </w:r>
      <w:bookmarkEnd w:id="7"/>
    </w:p>
    <w:p w14:paraId="36324F8A" w14:textId="793D55C0" w:rsidR="0012102F" w:rsidRPr="00CD3682" w:rsidRDefault="0012102F" w:rsidP="00E60B13">
      <w:pPr>
        <w:jc w:val="both"/>
      </w:pPr>
      <w:r w:rsidRPr="00CD3682">
        <w:rPr>
          <w:lang w:val="fr"/>
        </w:rPr>
        <w:t xml:space="preserve">Ce document est valide à partir du </w:t>
      </w:r>
      <w:r w:rsidR="00486BA8">
        <w:rPr>
          <w:lang w:val="fr"/>
        </w:rPr>
        <w:t>30 mars 2023.</w:t>
      </w:r>
    </w:p>
    <w:p w14:paraId="432230EE" w14:textId="1CCDA0BD" w:rsidR="0012102F" w:rsidRPr="00CD3682" w:rsidRDefault="0012102F" w:rsidP="00E60B13">
      <w:pPr>
        <w:jc w:val="both"/>
      </w:pPr>
      <w:r w:rsidRPr="00CD3682">
        <w:rPr>
          <w:lang w:val="fr"/>
        </w:rPr>
        <w:t xml:space="preserve">Le propriétaire de ce document est </w:t>
      </w:r>
      <w:r w:rsidR="00486BA8">
        <w:rPr>
          <w:lang w:val="fr"/>
        </w:rPr>
        <w:t>la direction générale</w:t>
      </w:r>
      <w:r w:rsidRPr="00CD3682">
        <w:rPr>
          <w:lang w:val="fr"/>
        </w:rPr>
        <w:t>, qui doit vérifier et, si nécessaire, mettre à jour le document au moins une fois par an</w:t>
      </w:r>
      <w:r w:rsidRPr="00CD3682">
        <w:t>.</w:t>
      </w:r>
    </w:p>
    <w:p w14:paraId="11BC0576" w14:textId="77777777" w:rsidR="0012102F" w:rsidRPr="00CD3682" w:rsidRDefault="0012102F" w:rsidP="00E60B13">
      <w:pPr>
        <w:jc w:val="both"/>
      </w:pPr>
    </w:p>
    <w:p w14:paraId="752A4207" w14:textId="0A1D7408" w:rsidR="0012102F" w:rsidRDefault="00486BA8" w:rsidP="0012102F">
      <w:pPr>
        <w:spacing w:after="0"/>
        <w:rPr>
          <w:lang w:val="fr"/>
        </w:rPr>
      </w:pPr>
      <w:r>
        <w:rPr>
          <w:lang w:val="fr"/>
        </w:rPr>
        <w:t>Josée Lemay</w:t>
      </w:r>
    </w:p>
    <w:p w14:paraId="26F91639" w14:textId="01930ABB" w:rsidR="00486BA8" w:rsidRPr="00CD3682" w:rsidRDefault="00486BA8" w:rsidP="0012102F">
      <w:pPr>
        <w:spacing w:after="0"/>
      </w:pPr>
      <w:r>
        <w:rPr>
          <w:lang w:val="fr"/>
        </w:rPr>
        <w:t>Directrice générale</w:t>
      </w:r>
    </w:p>
    <w:p w14:paraId="706FE7AF" w14:textId="77777777" w:rsidR="0012102F" w:rsidRPr="00CD3682" w:rsidRDefault="0012102F" w:rsidP="0012102F">
      <w:pPr>
        <w:spacing w:after="0"/>
      </w:pPr>
    </w:p>
    <w:p w14:paraId="101823E1" w14:textId="77777777" w:rsidR="0012102F" w:rsidRPr="00CD3682" w:rsidRDefault="0012102F" w:rsidP="0012102F">
      <w:pPr>
        <w:spacing w:after="0"/>
      </w:pPr>
    </w:p>
    <w:p w14:paraId="09253998" w14:textId="77777777" w:rsidR="0012102F" w:rsidRPr="00CD3682" w:rsidRDefault="0012102F" w:rsidP="0012102F">
      <w:pPr>
        <w:spacing w:after="0"/>
      </w:pPr>
      <w:r w:rsidRPr="00CD3682">
        <w:rPr>
          <w:lang w:val="fr"/>
        </w:rPr>
        <w:t>_________________________</w:t>
      </w:r>
    </w:p>
    <w:p w14:paraId="741F414D" w14:textId="77777777" w:rsidR="0012102F" w:rsidRPr="00CD3682" w:rsidRDefault="0012102F" w:rsidP="0012102F">
      <w:pPr>
        <w:spacing w:after="0"/>
      </w:pPr>
      <w:r w:rsidRPr="00CD3682">
        <w:rPr>
          <w:lang w:val="fr"/>
        </w:rPr>
        <w:t>[</w:t>
      </w:r>
      <w:proofErr w:type="gramStart"/>
      <w:r w:rsidRPr="00CD3682">
        <w:rPr>
          <w:lang w:val="fr"/>
        </w:rPr>
        <w:t>signature</w:t>
      </w:r>
      <w:proofErr w:type="gramEnd"/>
      <w:r w:rsidRPr="00CD3682">
        <w:rPr>
          <w:lang w:val="fr"/>
        </w:rPr>
        <w:t>]</w:t>
      </w:r>
    </w:p>
    <w:p w14:paraId="0E2B0C7B" w14:textId="77777777" w:rsidR="005558A5" w:rsidRDefault="005558A5"/>
    <w:sectPr w:rsidR="005558A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3B66C" w14:textId="77777777" w:rsidR="002902E5" w:rsidRDefault="002902E5" w:rsidP="002902E5">
      <w:pPr>
        <w:spacing w:after="0" w:line="240" w:lineRule="auto"/>
      </w:pPr>
      <w:r>
        <w:separator/>
      </w:r>
    </w:p>
  </w:endnote>
  <w:endnote w:type="continuationSeparator" w:id="0">
    <w:p w14:paraId="7380D13C" w14:textId="77777777" w:rsidR="002902E5" w:rsidRDefault="002902E5" w:rsidP="0029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2188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67054E" w14:textId="128F4CA5" w:rsidR="00AE49C3" w:rsidRDefault="00AE49C3">
            <w:pPr>
              <w:pStyle w:val="Pieddepage"/>
              <w:jc w:val="center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4F6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4F6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36EAA6" w14:textId="77777777" w:rsidR="00AE49C3" w:rsidRDefault="00AE49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2F83A" w14:textId="77777777" w:rsidR="002902E5" w:rsidRDefault="002902E5" w:rsidP="002902E5">
      <w:pPr>
        <w:spacing w:after="0" w:line="240" w:lineRule="auto"/>
      </w:pPr>
      <w:r>
        <w:separator/>
      </w:r>
    </w:p>
  </w:footnote>
  <w:footnote w:type="continuationSeparator" w:id="0">
    <w:p w14:paraId="1126DEBA" w14:textId="77777777" w:rsidR="002902E5" w:rsidRDefault="002902E5" w:rsidP="00290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50594"/>
    <w:multiLevelType w:val="multilevel"/>
    <w:tmpl w:val="3A4CD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10E06C5"/>
    <w:multiLevelType w:val="multilevel"/>
    <w:tmpl w:val="C812EF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CEF7988"/>
    <w:multiLevelType w:val="multilevel"/>
    <w:tmpl w:val="429A637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360" w:hanging="360"/>
      </w:pPr>
    </w:lvl>
    <w:lvl w:ilvl="2">
      <w:start w:val="1"/>
      <w:numFmt w:val="decimal"/>
      <w:pStyle w:val="Titre3"/>
      <w:lvlText w:val="%1.%2.%3.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E355933"/>
    <w:multiLevelType w:val="hybridMultilevel"/>
    <w:tmpl w:val="90C42C04"/>
    <w:lvl w:ilvl="0" w:tplc="1D9C4F3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5DEEE57E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A53EB89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718A3780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B1A21032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A7502340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A0A2FCD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7EC0F20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826E1976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1174EEB"/>
    <w:multiLevelType w:val="multilevel"/>
    <w:tmpl w:val="8E8E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wtzQzNjc0MzYwMzdS0lEKTi0uzszPAykwqQUAsLdjbCwAAAA="/>
  </w:docVars>
  <w:rsids>
    <w:rsidRoot w:val="0012102F"/>
    <w:rsid w:val="00002B29"/>
    <w:rsid w:val="00003F21"/>
    <w:rsid w:val="00057C32"/>
    <w:rsid w:val="0012102F"/>
    <w:rsid w:val="00155FC7"/>
    <w:rsid w:val="002902E5"/>
    <w:rsid w:val="002C2D83"/>
    <w:rsid w:val="002D53B0"/>
    <w:rsid w:val="00345028"/>
    <w:rsid w:val="00455217"/>
    <w:rsid w:val="00486BA8"/>
    <w:rsid w:val="004B326A"/>
    <w:rsid w:val="005558A5"/>
    <w:rsid w:val="00567B73"/>
    <w:rsid w:val="00596551"/>
    <w:rsid w:val="00605966"/>
    <w:rsid w:val="0062024B"/>
    <w:rsid w:val="00631FEB"/>
    <w:rsid w:val="0065372E"/>
    <w:rsid w:val="00663FCC"/>
    <w:rsid w:val="006B7158"/>
    <w:rsid w:val="006E55C8"/>
    <w:rsid w:val="007061BD"/>
    <w:rsid w:val="00734793"/>
    <w:rsid w:val="007B3F07"/>
    <w:rsid w:val="007E4A40"/>
    <w:rsid w:val="00832665"/>
    <w:rsid w:val="008626D7"/>
    <w:rsid w:val="008B1007"/>
    <w:rsid w:val="008B5772"/>
    <w:rsid w:val="008C23D9"/>
    <w:rsid w:val="00915973"/>
    <w:rsid w:val="00975CCB"/>
    <w:rsid w:val="009C4BC6"/>
    <w:rsid w:val="00A34D31"/>
    <w:rsid w:val="00AE49C3"/>
    <w:rsid w:val="00B47CF6"/>
    <w:rsid w:val="00B66F6F"/>
    <w:rsid w:val="00BF5278"/>
    <w:rsid w:val="00C041B8"/>
    <w:rsid w:val="00C750C0"/>
    <w:rsid w:val="00DD5414"/>
    <w:rsid w:val="00E35F3D"/>
    <w:rsid w:val="00E60B13"/>
    <w:rsid w:val="00E624DC"/>
    <w:rsid w:val="00EB4F6C"/>
    <w:rsid w:val="00EC0FE7"/>
    <w:rsid w:val="00F4565A"/>
    <w:rsid w:val="00FB75D0"/>
    <w:rsid w:val="00FE5D8C"/>
    <w:rsid w:val="07818C40"/>
    <w:rsid w:val="093D0156"/>
    <w:rsid w:val="0D56F763"/>
    <w:rsid w:val="18AB17B2"/>
    <w:rsid w:val="1E03EDC4"/>
    <w:rsid w:val="2166248B"/>
    <w:rsid w:val="2277B0D9"/>
    <w:rsid w:val="22B9155F"/>
    <w:rsid w:val="2EF67B65"/>
    <w:rsid w:val="358E83AD"/>
    <w:rsid w:val="3F1C3D96"/>
    <w:rsid w:val="40B2C0D2"/>
    <w:rsid w:val="411BBCE9"/>
    <w:rsid w:val="433633A3"/>
    <w:rsid w:val="4F3C88AA"/>
    <w:rsid w:val="5D0C94E1"/>
    <w:rsid w:val="644E8375"/>
    <w:rsid w:val="69D1EF8C"/>
    <w:rsid w:val="6ED7BB06"/>
    <w:rsid w:val="7443CE01"/>
    <w:rsid w:val="7A4F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958DE5"/>
  <w15:chartTrackingRefBased/>
  <w15:docId w15:val="{BEAF5AF9-4D52-456A-BF6E-8801E025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02F"/>
    <w:pPr>
      <w:spacing w:after="200" w:line="276" w:lineRule="auto"/>
    </w:pPr>
    <w:rPr>
      <w:rFonts w:ascii="Calibri" w:eastAsia="Calibri" w:hAnsi="Calibri" w:cs="Times New Roman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12102F"/>
    <w:pPr>
      <w:numPr>
        <w:numId w:val="1"/>
      </w:numPr>
      <w:outlineLvl w:val="0"/>
    </w:pPr>
    <w:rPr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2102F"/>
    <w:pPr>
      <w:numPr>
        <w:ilvl w:val="1"/>
        <w:numId w:val="1"/>
      </w:numPr>
      <w:outlineLvl w:val="1"/>
    </w:pPr>
    <w:rPr>
      <w:b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2102F"/>
    <w:pPr>
      <w:numPr>
        <w:ilvl w:val="2"/>
        <w:numId w:val="1"/>
      </w:numPr>
      <w:outlineLvl w:val="2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12102F"/>
    <w:rPr>
      <w:rFonts w:ascii="Calibri" w:eastAsia="Calibri" w:hAnsi="Calibri" w:cs="Times New Roman"/>
      <w:b/>
      <w:sz w:val="28"/>
      <w:szCs w:val="28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12102F"/>
    <w:rPr>
      <w:rFonts w:ascii="Calibri" w:eastAsia="Calibri" w:hAnsi="Calibri" w:cs="Times New Roman"/>
      <w:b/>
      <w:sz w:val="24"/>
      <w:szCs w:val="24"/>
      <w:lang w:val="fr-CA"/>
    </w:rPr>
  </w:style>
  <w:style w:type="character" w:customStyle="1" w:styleId="Titre3Car">
    <w:name w:val="Titre 3 Car"/>
    <w:basedOn w:val="Policepardfaut"/>
    <w:link w:val="Titre3"/>
    <w:uiPriority w:val="9"/>
    <w:rsid w:val="0012102F"/>
    <w:rPr>
      <w:rFonts w:ascii="Calibri" w:eastAsia="Calibri" w:hAnsi="Calibri" w:cs="Times New Roman"/>
      <w:b/>
      <w:i/>
      <w:lang w:val="fr-CA"/>
    </w:rPr>
  </w:style>
  <w:style w:type="character" w:styleId="Marquedecommentaire">
    <w:name w:val="annotation reference"/>
    <w:uiPriority w:val="99"/>
    <w:semiHidden/>
    <w:unhideWhenUsed/>
    <w:qFormat/>
    <w:rsid w:val="0012102F"/>
    <w:rPr>
      <w:sz w:val="16"/>
      <w:szCs w:val="16"/>
      <w:lang w:val="en-GB"/>
    </w:rPr>
  </w:style>
  <w:style w:type="character" w:customStyle="1" w:styleId="CommentaireCar">
    <w:name w:val="Commentaire Car"/>
    <w:link w:val="Commentaire"/>
    <w:uiPriority w:val="99"/>
    <w:qFormat/>
    <w:rsid w:val="0012102F"/>
    <w:rPr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12102F"/>
    <w:rPr>
      <w:rFonts w:asciiTheme="minorHAnsi" w:eastAsiaTheme="minorHAnsi" w:hAnsiTheme="minorHAnsi" w:cstheme="minorBidi"/>
      <w:lang w:val="en-GB"/>
    </w:rPr>
  </w:style>
  <w:style w:type="character" w:customStyle="1" w:styleId="CommentaireCar1">
    <w:name w:val="Commentaire Car1"/>
    <w:basedOn w:val="Policepardfaut"/>
    <w:uiPriority w:val="99"/>
    <w:semiHidden/>
    <w:rsid w:val="0012102F"/>
    <w:rPr>
      <w:rFonts w:ascii="Calibri" w:eastAsia="Calibri" w:hAnsi="Calibri" w:cs="Times New Roman"/>
      <w:sz w:val="20"/>
      <w:szCs w:val="20"/>
      <w:lang w:val="fr-CA"/>
    </w:rPr>
  </w:style>
  <w:style w:type="paragraph" w:styleId="TM1">
    <w:name w:val="toc 1"/>
    <w:basedOn w:val="Normal"/>
    <w:next w:val="Normal"/>
    <w:autoRedefine/>
    <w:uiPriority w:val="39"/>
    <w:unhideWhenUsed/>
    <w:rsid w:val="0012102F"/>
    <w:pPr>
      <w:spacing w:before="120" w:after="120"/>
    </w:pPr>
    <w:rPr>
      <w:b/>
      <w:bCs/>
      <w:cap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2102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2102F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2902E5"/>
    <w:pPr>
      <w:spacing w:after="0" w:line="240" w:lineRule="auto"/>
    </w:pPr>
    <w:rPr>
      <w:rFonts w:ascii="Calibri" w:eastAsia="Calibri" w:hAnsi="Calibri" w:cs="Times New Roman"/>
      <w:lang w:val="fr-CA"/>
    </w:rPr>
  </w:style>
  <w:style w:type="paragraph" w:styleId="En-tte">
    <w:name w:val="header"/>
    <w:basedOn w:val="Normal"/>
    <w:link w:val="En-tteCar"/>
    <w:uiPriority w:val="99"/>
    <w:unhideWhenUsed/>
    <w:rsid w:val="002902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02E5"/>
    <w:rPr>
      <w:rFonts w:ascii="Calibri" w:eastAsia="Calibri" w:hAnsi="Calibri" w:cs="Times New Roman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2902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02E5"/>
    <w:rPr>
      <w:rFonts w:ascii="Calibri" w:eastAsia="Calibri" w:hAnsi="Calibri" w:cs="Times New Roman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02E5"/>
    <w:pPr>
      <w:spacing w:line="240" w:lineRule="auto"/>
    </w:pPr>
    <w:rPr>
      <w:rFonts w:ascii="Calibri" w:eastAsia="Calibri" w:hAnsi="Calibri" w:cs="Times New Roman"/>
      <w:b/>
      <w:bCs/>
      <w:sz w:val="20"/>
      <w:szCs w:val="20"/>
      <w:lang w:val="fr-C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02E5"/>
    <w:rPr>
      <w:rFonts w:ascii="Calibri" w:eastAsia="Calibri" w:hAnsi="Calibri" w:cs="Times New Roman"/>
      <w:b/>
      <w:bCs/>
      <w:sz w:val="20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 I M A N A G E ! 1 3 7 2 9 1 7 4 . 1 < / d o c u m e n t i d >  
     < s e n d e r i d > E R I N . S C H A C H T E R @ G R O U P E T C J . C A < / s e n d e r i d >  
     < s e n d e r e m a i l > E R I N . S C H A C H T E R @ G R O U P E T C J . C A < / s e n d e r e m a i l >  
     < l a s t m o d i f i e d > 2 0 2 3 - 0 2 - 0 8 T 1 4 : 0 2 : 0 0 . 0 0 0 0 0 0 0 - 0 5 : 0 0 < / l a s t m o d i f i e d >  
     < d a t a b a s e > I M A N A G E 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E31FE-63E5-45BF-9438-2CCFE480B843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B8F84252-6A41-486F-A338-82068AFB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1081</Words>
  <Characters>5947</Characters>
  <Application>Microsoft Office Word</Application>
  <DocSecurity>0</DocSecurity>
  <Lines>49</Lines>
  <Paragraphs>14</Paragraphs>
  <ScaleCrop>false</ScaleCrop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Upperity Sébastien Meunier</dc:creator>
  <cp:keywords/>
  <dc:description/>
  <cp:lastModifiedBy>Direction</cp:lastModifiedBy>
  <cp:revision>54</cp:revision>
  <dcterms:created xsi:type="dcterms:W3CDTF">2022-02-11T19:00:00Z</dcterms:created>
  <dcterms:modified xsi:type="dcterms:W3CDTF">2023-04-19T18:47:00Z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TCJ: 13206748.1</vt:lpwstr>
  </property>
</Properties>
</file>